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w:t>
      </w:r>
    </w:p>
    <w:p>
      <w:pPr>
        <w:jc w:val="center"/>
        <w:rPr>
          <w:rFonts w:ascii="方正小标宋简体" w:eastAsia="方正小标宋简体"/>
          <w:sz w:val="44"/>
          <w:szCs w:val="44"/>
        </w:rPr>
      </w:pPr>
      <w:r>
        <w:rPr>
          <w:rFonts w:hint="eastAsia" w:ascii="方正小标宋简体" w:eastAsia="方正小标宋简体"/>
          <w:sz w:val="44"/>
          <w:szCs w:val="44"/>
        </w:rPr>
        <w:t>兰州大学资产经营有限公司章程</w:t>
      </w:r>
    </w:p>
    <w:p>
      <w:pPr>
        <w:spacing w:beforeLines="50" w:afterLines="50" w:line="500" w:lineRule="exact"/>
        <w:ind w:right="482"/>
        <w:jc w:val="center"/>
        <w:rPr>
          <w:rFonts w:ascii="黑体" w:hAnsi="黑体" w:eastAsia="黑体" w:cs="黑体"/>
          <w:sz w:val="32"/>
          <w:szCs w:val="32"/>
        </w:rPr>
      </w:pPr>
      <w:r>
        <w:rPr>
          <w:rFonts w:hint="eastAsia" w:ascii="黑体" w:hAnsi="黑体" w:eastAsia="黑体" w:cs="黑体"/>
          <w:b/>
          <w:sz w:val="32"/>
          <w:szCs w:val="32"/>
        </w:rPr>
        <w:t>第一章  总  则</w:t>
      </w:r>
    </w:p>
    <w:p>
      <w:pPr>
        <w:spacing w:line="500" w:lineRule="exact"/>
        <w:ind w:firstLine="643" w:firstLineChars="200"/>
        <w:rPr>
          <w:rFonts w:ascii="仿宋_GB2312" w:hAnsi="仿宋_GB2312" w:eastAsia="仿宋_GB2312" w:cs="仿宋_GB2312"/>
          <w:sz w:val="32"/>
          <w:szCs w:val="32"/>
        </w:rPr>
      </w:pPr>
      <w:r>
        <w:rPr>
          <w:rFonts w:hint="eastAsia" w:ascii="黑体" w:hAnsi="黑体" w:eastAsia="黑体" w:cs="黑体"/>
          <w:b/>
          <w:bCs/>
          <w:sz w:val="32"/>
          <w:szCs w:val="32"/>
        </w:rPr>
        <w:t>第一条</w:t>
      </w:r>
      <w:r>
        <w:rPr>
          <w:rFonts w:hint="eastAsia" w:ascii="仿宋_GB2312" w:hAnsi="仿宋_GB2312" w:eastAsia="仿宋_GB2312" w:cs="仿宋_GB2312"/>
          <w:sz w:val="32"/>
          <w:szCs w:val="32"/>
        </w:rPr>
        <w:t xml:space="preserve">  为确立兰州大学资产经营有限公司（以下简称公司）的法律地位和行为准则，保障出资人、公司和债权人的合法权益，规范公司的管理和运行，根据《中华人民共和国公司法》（以下简称《公司法》）《中华人民共和国公司登记管理条例》《中国共产党章程》（以下简称《党章》）《中华人民共和国企业国有资产法》等有关法律、法规，制定本章程。</w:t>
      </w:r>
    </w:p>
    <w:p>
      <w:pPr>
        <w:spacing w:line="500" w:lineRule="exact"/>
        <w:ind w:firstLine="643" w:firstLineChars="200"/>
        <w:rPr>
          <w:rFonts w:ascii="仿宋_GB2312" w:hAnsi="仿宋_GB2312" w:eastAsia="仿宋_GB2312" w:cs="仿宋_GB2312"/>
          <w:sz w:val="32"/>
          <w:szCs w:val="32"/>
        </w:rPr>
      </w:pPr>
      <w:r>
        <w:rPr>
          <w:rFonts w:hint="eastAsia" w:ascii="黑体" w:hAnsi="黑体" w:eastAsia="黑体" w:cs="黑体"/>
          <w:b/>
          <w:bCs/>
          <w:sz w:val="32"/>
          <w:szCs w:val="32"/>
        </w:rPr>
        <w:t xml:space="preserve">第二条 </w:t>
      </w:r>
      <w:r>
        <w:rPr>
          <w:rFonts w:hint="eastAsia" w:ascii="仿宋_GB2312" w:hAnsi="仿宋_GB2312" w:eastAsia="仿宋_GB2312" w:cs="仿宋_GB2312"/>
          <w:sz w:val="32"/>
          <w:szCs w:val="32"/>
        </w:rPr>
        <w:t xml:space="preserve"> 公司是经教育部批准，兰州大学出资设立的法人独资有限责任公司。</w:t>
      </w:r>
    </w:p>
    <w:p>
      <w:pPr>
        <w:spacing w:line="500" w:lineRule="exact"/>
        <w:ind w:firstLine="643" w:firstLineChars="200"/>
        <w:rPr>
          <w:rFonts w:ascii="仿宋_GB2312" w:hAnsi="仿宋_GB2312" w:eastAsia="仿宋_GB2312" w:cs="仿宋_GB2312"/>
          <w:sz w:val="32"/>
          <w:szCs w:val="32"/>
        </w:rPr>
      </w:pPr>
      <w:r>
        <w:rPr>
          <w:rFonts w:hint="eastAsia" w:ascii="黑体" w:hAnsi="黑体" w:eastAsia="黑体" w:cs="黑体"/>
          <w:b/>
          <w:bCs/>
          <w:sz w:val="32"/>
          <w:szCs w:val="32"/>
        </w:rPr>
        <w:t xml:space="preserve">第三条  </w:t>
      </w:r>
      <w:r>
        <w:rPr>
          <w:rFonts w:hint="eastAsia" w:ascii="仿宋_GB2312" w:hAnsi="仿宋_GB2312" w:eastAsia="仿宋_GB2312" w:cs="仿宋_GB2312"/>
          <w:sz w:val="32"/>
          <w:szCs w:val="32"/>
        </w:rPr>
        <w:t>公司中文全称：兰州大学资产经营有限公司</w:t>
      </w:r>
    </w:p>
    <w:p>
      <w:pPr>
        <w:spacing w:line="500" w:lineRule="exact"/>
        <w:ind w:left="3840" w:hanging="3840" w:hangingChars="120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公司英文全称：Lanzhou University Property Management Limited Company</w:t>
      </w:r>
    </w:p>
    <w:p>
      <w:pPr>
        <w:spacing w:line="500" w:lineRule="exact"/>
        <w:ind w:firstLine="643" w:firstLineChars="200"/>
        <w:rPr>
          <w:rFonts w:ascii="仿宋_GB2312" w:hAnsi="仿宋_GB2312" w:eastAsia="仿宋_GB2312" w:cs="仿宋_GB2312"/>
          <w:sz w:val="32"/>
          <w:szCs w:val="32"/>
        </w:rPr>
      </w:pPr>
      <w:r>
        <w:rPr>
          <w:rFonts w:hint="eastAsia" w:ascii="黑体" w:hAnsi="黑体" w:eastAsia="黑体" w:cs="黑体"/>
          <w:b/>
          <w:bCs/>
          <w:sz w:val="32"/>
          <w:szCs w:val="32"/>
        </w:rPr>
        <w:t xml:space="preserve">第四条  </w:t>
      </w:r>
      <w:r>
        <w:rPr>
          <w:rFonts w:hint="eastAsia" w:ascii="仿宋_GB2312" w:hAnsi="仿宋_GB2312" w:eastAsia="仿宋_GB2312" w:cs="仿宋_GB2312"/>
          <w:sz w:val="32"/>
          <w:szCs w:val="32"/>
        </w:rPr>
        <w:t>公司住所：甘肃省兰州市城关区天水南路222号兰州大学胡杨楼。</w:t>
      </w:r>
    </w:p>
    <w:p>
      <w:pPr>
        <w:spacing w:line="500" w:lineRule="exact"/>
        <w:ind w:firstLine="643" w:firstLineChars="200"/>
        <w:rPr>
          <w:rFonts w:ascii="仿宋_GB2312" w:hAnsi="仿宋_GB2312" w:eastAsia="仿宋_GB2312" w:cs="仿宋_GB2312"/>
          <w:sz w:val="32"/>
          <w:szCs w:val="32"/>
        </w:rPr>
      </w:pPr>
      <w:r>
        <w:rPr>
          <w:rFonts w:hint="eastAsia" w:ascii="黑体" w:hAnsi="黑体" w:eastAsia="黑体" w:cs="黑体"/>
          <w:b/>
          <w:bCs/>
          <w:sz w:val="32"/>
          <w:szCs w:val="32"/>
        </w:rPr>
        <w:t>第五条  兰</w:t>
      </w:r>
      <w:r>
        <w:rPr>
          <w:rFonts w:hint="eastAsia" w:ascii="仿宋_GB2312" w:hAnsi="仿宋_GB2312" w:eastAsia="仿宋_GB2312" w:cs="仿宋_GB2312"/>
          <w:sz w:val="32"/>
          <w:szCs w:val="32"/>
        </w:rPr>
        <w:t>州大学对公司履行出资人职责，以其全部出资额为限，对公司承担责任，并依法享有出资人的各项权利。</w:t>
      </w:r>
    </w:p>
    <w:p>
      <w:pPr>
        <w:spacing w:line="500" w:lineRule="exact"/>
        <w:ind w:firstLine="643" w:firstLineChars="200"/>
        <w:rPr>
          <w:rFonts w:ascii="仿宋_GB2312" w:hAnsi="仿宋_GB2312" w:eastAsia="仿宋_GB2312" w:cs="仿宋_GB2312"/>
          <w:b/>
          <w:bCs/>
          <w:sz w:val="32"/>
          <w:szCs w:val="32"/>
        </w:rPr>
      </w:pPr>
      <w:r>
        <w:rPr>
          <w:rFonts w:hint="eastAsia" w:ascii="黑体" w:hAnsi="黑体" w:eastAsia="黑体" w:cs="黑体"/>
          <w:b/>
          <w:bCs/>
          <w:sz w:val="32"/>
          <w:szCs w:val="32"/>
        </w:rPr>
        <w:t xml:space="preserve">第六条  </w:t>
      </w:r>
      <w:r>
        <w:rPr>
          <w:rFonts w:hint="eastAsia" w:ascii="仿宋_GB2312" w:hAnsi="仿宋_GB2312" w:eastAsia="仿宋_GB2312" w:cs="仿宋_GB2312"/>
          <w:sz w:val="32"/>
          <w:szCs w:val="32"/>
        </w:rPr>
        <w:t>公司营业期限为20年，自2008年9月10日至2028年9月9日。</w:t>
      </w:r>
    </w:p>
    <w:p>
      <w:pPr>
        <w:spacing w:line="500" w:lineRule="exact"/>
        <w:ind w:firstLine="643" w:firstLineChars="200"/>
        <w:rPr>
          <w:rFonts w:ascii="仿宋_GB2312" w:hAnsi="仿宋_GB2312" w:eastAsia="仿宋_GB2312" w:cs="仿宋_GB2312"/>
          <w:sz w:val="32"/>
          <w:szCs w:val="32"/>
        </w:rPr>
      </w:pPr>
      <w:r>
        <w:rPr>
          <w:rFonts w:hint="eastAsia" w:ascii="黑体" w:hAnsi="黑体" w:eastAsia="黑体" w:cs="黑体"/>
          <w:b/>
          <w:bCs/>
          <w:sz w:val="32"/>
          <w:szCs w:val="32"/>
        </w:rPr>
        <w:t xml:space="preserve">第七条  </w:t>
      </w:r>
      <w:r>
        <w:rPr>
          <w:rFonts w:hint="eastAsia" w:ascii="仿宋_GB2312" w:hAnsi="仿宋_GB2312" w:eastAsia="仿宋_GB2312" w:cs="仿宋_GB2312"/>
          <w:sz w:val="32"/>
          <w:szCs w:val="32"/>
        </w:rPr>
        <w:t>公司法定代表人由董事长担任。</w:t>
      </w:r>
    </w:p>
    <w:p>
      <w:pPr>
        <w:spacing w:line="500" w:lineRule="exact"/>
        <w:ind w:firstLine="643" w:firstLineChars="200"/>
        <w:rPr>
          <w:rFonts w:ascii="仿宋_GB2312" w:hAnsi="仿宋_GB2312" w:eastAsia="仿宋_GB2312" w:cs="仿宋_GB2312"/>
          <w:sz w:val="32"/>
          <w:szCs w:val="32"/>
        </w:rPr>
      </w:pPr>
      <w:r>
        <w:rPr>
          <w:rFonts w:hint="eastAsia" w:ascii="黑体" w:hAnsi="黑体" w:eastAsia="黑体" w:cs="黑体"/>
          <w:b/>
          <w:bCs/>
          <w:sz w:val="32"/>
          <w:szCs w:val="32"/>
        </w:rPr>
        <w:t xml:space="preserve">第八条 </w:t>
      </w:r>
      <w:r>
        <w:rPr>
          <w:rFonts w:hint="eastAsia" w:ascii="仿宋_GB2312" w:hAnsi="仿宋_GB2312" w:eastAsia="仿宋_GB2312" w:cs="仿宋_GB2312"/>
          <w:b/>
          <w:bCs/>
          <w:sz w:val="32"/>
          <w:szCs w:val="32"/>
        </w:rPr>
        <w:t xml:space="preserve"> </w:t>
      </w:r>
      <w:r>
        <w:rPr>
          <w:rFonts w:hint="eastAsia" w:ascii="仿宋_GB2312" w:hAnsi="仿宋_GB2312" w:eastAsia="仿宋_GB2312" w:cs="仿宋_GB2312"/>
          <w:sz w:val="32"/>
          <w:szCs w:val="32"/>
        </w:rPr>
        <w:t>公司在兰州市城关区市场监督管理局注册登记。公司的合法权益受法律保护。</w:t>
      </w:r>
    </w:p>
    <w:p>
      <w:pPr>
        <w:spacing w:line="500" w:lineRule="exact"/>
        <w:ind w:firstLine="643" w:firstLineChars="200"/>
        <w:rPr>
          <w:rFonts w:ascii="仿宋_GB2312" w:hAnsi="仿宋_GB2312" w:eastAsia="仿宋_GB2312" w:cs="仿宋_GB2312"/>
          <w:sz w:val="32"/>
          <w:szCs w:val="32"/>
        </w:rPr>
      </w:pPr>
      <w:r>
        <w:rPr>
          <w:rFonts w:hint="eastAsia" w:ascii="黑体" w:hAnsi="黑体" w:eastAsia="黑体" w:cs="黑体"/>
          <w:b/>
          <w:bCs/>
          <w:sz w:val="32"/>
          <w:szCs w:val="32"/>
        </w:rPr>
        <w:t xml:space="preserve">第九条  </w:t>
      </w:r>
      <w:r>
        <w:rPr>
          <w:rFonts w:hint="eastAsia" w:ascii="仿宋_GB2312" w:hAnsi="仿宋_GB2312" w:eastAsia="仿宋_GB2312" w:cs="仿宋_GB2312"/>
          <w:sz w:val="32"/>
          <w:szCs w:val="32"/>
        </w:rPr>
        <w:t>公司对兰州大学授权经营的国有资产承担保值增值责任，享有出资人投资形成的全部法人财产权，依法享有民事权利，承担民事责任，自主经营、自负盈亏、独立核算、照章纳税，并以全部资产对公司债务承担责任。</w:t>
      </w:r>
    </w:p>
    <w:p>
      <w:pPr>
        <w:spacing w:line="500" w:lineRule="exact"/>
        <w:ind w:firstLine="643" w:firstLineChars="200"/>
        <w:rPr>
          <w:rFonts w:ascii="仿宋_GB2312" w:hAnsi="仿宋_GB2312" w:eastAsia="仿宋_GB2312" w:cs="仿宋_GB2312"/>
          <w:sz w:val="32"/>
          <w:szCs w:val="32"/>
        </w:rPr>
      </w:pPr>
      <w:r>
        <w:rPr>
          <w:rFonts w:hint="eastAsia" w:ascii="黑体" w:hAnsi="黑体" w:eastAsia="黑体" w:cs="黑体"/>
          <w:b/>
          <w:bCs/>
          <w:sz w:val="32"/>
          <w:szCs w:val="32"/>
        </w:rPr>
        <w:t xml:space="preserve">第十条 </w:t>
      </w:r>
      <w:r>
        <w:rPr>
          <w:rFonts w:hint="eastAsia" w:ascii="仿宋_GB2312" w:hAnsi="仿宋_GB2312" w:eastAsia="仿宋_GB2312" w:cs="仿宋_GB2312"/>
          <w:sz w:val="32"/>
          <w:szCs w:val="32"/>
        </w:rPr>
        <w:t xml:space="preserve"> 公司依照《公司法》等有关法律法规实行民主管理，接受教育部和有关部门的管理和指导。公司涉及有关社会、行政管理事宜，以及与地方有关的经济联系，接受当地政府的指导和监督。</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第十一条 </w:t>
      </w:r>
      <w:r>
        <w:rPr>
          <w:rFonts w:hint="eastAsia" w:ascii="仿宋_GB2312" w:hAnsi="仿宋_GB2312" w:eastAsia="仿宋_GB2312" w:cs="仿宋_GB2312"/>
          <w:sz w:val="32"/>
          <w:szCs w:val="32"/>
        </w:rPr>
        <w:t xml:space="preserve"> 公司设立中国共产党基层党组织，依照《党章》《中国共产党国有企业基层组织工作条例（试行）》（以下简称《工作条例》）等规定开展工作，坚持党组织在公司中的领导作用。</w:t>
      </w:r>
    </w:p>
    <w:p>
      <w:pPr>
        <w:spacing w:line="500" w:lineRule="exact"/>
        <w:ind w:firstLine="643" w:firstLineChars="200"/>
        <w:rPr>
          <w:rFonts w:ascii="仿宋_GB2312" w:hAnsi="仿宋_GB2312" w:eastAsia="仿宋_GB2312" w:cs="仿宋_GB2312"/>
          <w:b/>
          <w:sz w:val="32"/>
          <w:szCs w:val="32"/>
        </w:rPr>
      </w:pPr>
      <w:r>
        <w:rPr>
          <w:rFonts w:hint="eastAsia" w:ascii="黑体" w:hAnsi="黑体" w:eastAsia="黑体" w:cs="黑体"/>
          <w:b/>
          <w:bCs/>
          <w:sz w:val="32"/>
          <w:szCs w:val="32"/>
        </w:rPr>
        <w:t xml:space="preserve">第十二条  </w:t>
      </w:r>
      <w:r>
        <w:rPr>
          <w:rFonts w:hint="eastAsia" w:ascii="仿宋_GB2312" w:hAnsi="仿宋_GB2312" w:eastAsia="仿宋_GB2312" w:cs="仿宋_GB2312"/>
          <w:sz w:val="32"/>
          <w:szCs w:val="32"/>
        </w:rPr>
        <w:t>公司依照《中华人民共和国工会法》和《中国工会章程》建立工会组织，维护职工合法权益，推动企业文化建设。</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第十三条  </w:t>
      </w:r>
      <w:r>
        <w:rPr>
          <w:rFonts w:hint="eastAsia" w:ascii="仿宋_GB2312" w:hAnsi="仿宋_GB2312" w:eastAsia="仿宋_GB2312" w:cs="仿宋_GB2312"/>
          <w:sz w:val="32"/>
          <w:szCs w:val="32"/>
        </w:rPr>
        <w:t>根据《公司法》的有关规定，公司可以向其他企业投资，依法享有资产收益、重大决策和选择经营管理者等出资人权利。</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公司与所投资企业是以资本为纽带的母子公司关系，按</w:t>
      </w:r>
      <w:bookmarkStart w:id="0" w:name="_GoBack"/>
      <w:bookmarkEnd w:id="0"/>
      <w:r>
        <w:rPr>
          <w:rFonts w:hint="eastAsia" w:ascii="仿宋_GB2312" w:hAnsi="仿宋_GB2312" w:eastAsia="仿宋_GB2312" w:cs="仿宋_GB2312"/>
          <w:sz w:val="32"/>
          <w:szCs w:val="32"/>
        </w:rPr>
        <w:t>照《公司法》有关规定以及公司章程，规范相互之间的权利义务关系。公司所投资企业是自主经营、自负盈亏、独立核算的法人实体，对公司承担国有资产保值增值的责任，执行公司发展战略等有关重大决策。</w:t>
      </w:r>
    </w:p>
    <w:p>
      <w:pPr>
        <w:spacing w:beforeLines="50" w:afterLines="50" w:line="500" w:lineRule="exact"/>
        <w:ind w:right="482"/>
        <w:jc w:val="center"/>
        <w:rPr>
          <w:rFonts w:ascii="黑体" w:hAnsi="黑体" w:eastAsia="黑体" w:cs="黑体"/>
          <w:b/>
          <w:sz w:val="32"/>
          <w:szCs w:val="32"/>
        </w:rPr>
      </w:pPr>
      <w:r>
        <w:rPr>
          <w:rFonts w:hint="eastAsia" w:ascii="黑体" w:hAnsi="黑体" w:eastAsia="黑体" w:cs="黑体"/>
          <w:b/>
          <w:sz w:val="32"/>
          <w:szCs w:val="32"/>
        </w:rPr>
        <w:t>第二章  注册资本、经营范围和经营方式</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第十四条  </w:t>
      </w:r>
      <w:r>
        <w:rPr>
          <w:rFonts w:hint="eastAsia" w:ascii="仿宋_GB2312" w:hAnsi="仿宋_GB2312" w:eastAsia="仿宋_GB2312" w:cs="仿宋_GB2312"/>
          <w:sz w:val="32"/>
          <w:szCs w:val="32"/>
        </w:rPr>
        <w:t>公司注册资本为人民币2443.06万元，出资方式为货币、实物、股权资本等。</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第十五条  </w:t>
      </w:r>
      <w:r>
        <w:rPr>
          <w:rFonts w:hint="eastAsia" w:ascii="仿宋_GB2312" w:hAnsi="仿宋_GB2312" w:eastAsia="仿宋_GB2312" w:cs="仿宋_GB2312"/>
          <w:sz w:val="32"/>
          <w:szCs w:val="32"/>
        </w:rPr>
        <w:t>经营范围：兰州大学内部自有资产的经营管理；高新技术成果的转化和产业化，技术资产的经营，兰州大学资产托管；房屋租赁；设备租赁；广告宣传；科技、经济、金融咨询服务等。</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第十六条  </w:t>
      </w:r>
      <w:r>
        <w:rPr>
          <w:rFonts w:hint="eastAsia" w:ascii="仿宋_GB2312" w:hAnsi="仿宋_GB2312" w:eastAsia="仿宋_GB2312" w:cs="仿宋_GB2312"/>
          <w:sz w:val="32"/>
          <w:szCs w:val="32"/>
        </w:rPr>
        <w:t>管理和经营方式：根据国家法律、法规和产业政策，按照现代企业制度的要求和出资人的意愿，以实现国有资产的保值增值和公司利益最大化为目的，对校办企业进行统一管理。依托兰州大学的科技、人才、信息等优势，通过投资控股或参股、增资扩股、收购兼并、资产置换和重组等多种方式，促进兰州大学人才培养、科研开发工作与科技企业之间的结合，转化学校的科技成果，孵化和发展高新技术企业及相关的服务型企业，支持所出资企业对具有市场前景的重大科技成果进行产业化。</w:t>
      </w:r>
    </w:p>
    <w:p>
      <w:pPr>
        <w:spacing w:beforeLines="50" w:afterLines="50" w:line="500" w:lineRule="exact"/>
        <w:ind w:right="482"/>
        <w:jc w:val="center"/>
        <w:rPr>
          <w:rFonts w:ascii="黑体" w:hAnsi="黑体" w:eastAsia="黑体" w:cs="黑体"/>
          <w:b/>
          <w:sz w:val="32"/>
          <w:szCs w:val="32"/>
        </w:rPr>
      </w:pPr>
      <w:r>
        <w:rPr>
          <w:rFonts w:hint="eastAsia" w:ascii="黑体" w:hAnsi="黑体" w:eastAsia="黑体" w:cs="黑体"/>
          <w:b/>
          <w:sz w:val="32"/>
          <w:szCs w:val="32"/>
        </w:rPr>
        <w:t>第三章  出资人及其权利和义务</w:t>
      </w:r>
    </w:p>
    <w:p>
      <w:pPr>
        <w:numPr>
          <w:ilvl w:val="255"/>
          <w:numId w:val="0"/>
        </w:numPr>
        <w:spacing w:beforeLines="50" w:afterLines="50" w:line="500" w:lineRule="exact"/>
        <w:ind w:firstLine="481"/>
        <w:rPr>
          <w:rFonts w:ascii="仿宋_GB2312" w:hAnsi="仿宋_GB2312" w:eastAsia="仿宋_GB2312" w:cs="仿宋_GB2312"/>
          <w:sz w:val="32"/>
          <w:szCs w:val="32"/>
        </w:rPr>
      </w:pPr>
      <w:r>
        <w:rPr>
          <w:rFonts w:hint="eastAsia" w:ascii="黑体" w:hAnsi="黑体" w:eastAsia="黑体" w:cs="黑体"/>
          <w:b/>
          <w:bCs/>
          <w:sz w:val="32"/>
          <w:szCs w:val="32"/>
        </w:rPr>
        <w:t xml:space="preserve">第十七条  </w:t>
      </w:r>
      <w:r>
        <w:rPr>
          <w:rFonts w:hint="eastAsia" w:ascii="仿宋_GB2312" w:hAnsi="仿宋_GB2312" w:eastAsia="仿宋_GB2312" w:cs="仿宋_GB2312"/>
          <w:sz w:val="32"/>
          <w:szCs w:val="32"/>
        </w:rPr>
        <w:t>兰州大学为公司的唯一出资人。依照《公司法》第六十六条之规定，公司不设立股东会，兰州大学设立“兰州大学国有资产管理委员会”（以下简称兰大国资委）。兰大国资委对以下涉及公司的重要业务、重大决策及重大事项等进行审议，向学校提出工作建议，并按程序经学校相应决策机制审定。</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（一）审议公司的章程及章程的修订；</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（二）审议公司的分立、合并、增加或者减少注册资本、发行公司债券以及公司的破产、解散等重大事项；对公司的分立、合并、破产、解散等事项作出决定前，须报国家有关部门批准；</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（三）审议公司的长远发展规划和重大投资决策；</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（四）审议公司董事会、监事会的报告；</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（五）审议公司的年度财务预算、决算方案；</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（六）监督、评价公司的经营状况，考核国有资产保值增值的情况；</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（七）审议公司的利润分配方案和弥补亏损方案；</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（八）审议公司转让国有资本所得收益的上缴方案；</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（九）审议批准公司的借贷以及为所出资企业的借贷提供担保的事项；</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（十）审议公司国有股权的转让事宜。其中，因股权全部或部分转让致使国有股权不再拥有控股地位时，该转让方案须报国家主管部门批准；</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（十一）审议公司的分立、合并、增加或者减少注册资本、发行公司债券以及公司的破产、解散等重大事项；</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（十二）审议公司法定代表人、董事、监事及企业主要负责人人选；</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（十三）根据《公司法》第六十六条，兰大国资委可以在一定的范围内授权本公司董事会行使出资人的部分权利，授权的范围和时限由兰大国资委的书面决议确定；</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（十四）享有《公司法》和《企业国有资产监督管理暂行条例》规定的其他权利。</w:t>
      </w:r>
      <w:r>
        <w:rPr>
          <w:rFonts w:hint="eastAsia" w:ascii="仿宋_GB2312" w:hAnsi="仿宋_GB2312" w:eastAsia="仿宋_GB2312" w:cs="仿宋_GB2312"/>
          <w:b/>
          <w:bCs/>
          <w:sz w:val="32"/>
          <w:szCs w:val="32"/>
        </w:rPr>
        <w:t xml:space="preserve"> </w:t>
      </w:r>
    </w:p>
    <w:p>
      <w:pPr>
        <w:spacing w:beforeLines="50" w:afterLines="50" w:line="500" w:lineRule="exact"/>
        <w:ind w:right="482"/>
        <w:jc w:val="center"/>
        <w:rPr>
          <w:rFonts w:ascii="黑体" w:hAnsi="黑体" w:eastAsia="黑体" w:cs="黑体"/>
          <w:b/>
          <w:sz w:val="32"/>
          <w:szCs w:val="32"/>
        </w:rPr>
      </w:pPr>
      <w:r>
        <w:rPr>
          <w:rFonts w:hint="eastAsia" w:ascii="黑体" w:hAnsi="黑体" w:eastAsia="黑体" w:cs="黑体"/>
          <w:b/>
          <w:sz w:val="32"/>
          <w:szCs w:val="32"/>
        </w:rPr>
        <w:t>第四章 党组织</w:t>
      </w:r>
    </w:p>
    <w:p>
      <w:pPr>
        <w:spacing w:line="500" w:lineRule="exact"/>
        <w:ind w:firstLine="643" w:firstLineChars="200"/>
        <w:rPr>
          <w:rFonts w:ascii="仿宋_GB2312" w:hAnsi="仿宋_GB2312" w:eastAsia="仿宋_GB2312" w:cs="仿宋_GB2312"/>
          <w:sz w:val="32"/>
          <w:szCs w:val="32"/>
        </w:rPr>
      </w:pPr>
      <w:r>
        <w:rPr>
          <w:rFonts w:hint="eastAsia" w:ascii="黑体" w:hAnsi="黑体" w:eastAsia="黑体" w:cs="黑体"/>
          <w:b/>
          <w:bCs/>
          <w:sz w:val="32"/>
          <w:szCs w:val="32"/>
        </w:rPr>
        <w:t xml:space="preserve">第十八条  </w:t>
      </w:r>
      <w:r>
        <w:rPr>
          <w:rFonts w:hint="eastAsia" w:ascii="仿宋_GB2312" w:hAnsi="仿宋_GB2312" w:eastAsia="仿宋_GB2312" w:cs="仿宋_GB2312"/>
          <w:sz w:val="32"/>
          <w:szCs w:val="32"/>
        </w:rPr>
        <w:t>公司党委书记、副书记、委员的职数及产生按照《工作条例》和学校有关规定执行。</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公司纪委组成及职责，按学校党委及纪委有关规定执行。</w:t>
      </w:r>
    </w:p>
    <w:p>
      <w:pPr>
        <w:spacing w:line="500" w:lineRule="exact"/>
        <w:ind w:firstLine="643" w:firstLineChars="200"/>
        <w:rPr>
          <w:rFonts w:ascii="仿宋_GB2312" w:hAnsi="仿宋_GB2312" w:eastAsia="仿宋_GB2312" w:cs="仿宋_GB2312"/>
          <w:sz w:val="32"/>
          <w:szCs w:val="32"/>
        </w:rPr>
      </w:pPr>
      <w:r>
        <w:rPr>
          <w:rFonts w:hint="eastAsia" w:ascii="黑体" w:hAnsi="黑体" w:eastAsia="黑体" w:cs="黑体"/>
          <w:b/>
          <w:bCs/>
          <w:sz w:val="32"/>
          <w:szCs w:val="32"/>
        </w:rPr>
        <w:t xml:space="preserve">第十九条  </w:t>
      </w:r>
      <w:r>
        <w:rPr>
          <w:rFonts w:hint="eastAsia" w:ascii="仿宋_GB2312" w:hAnsi="仿宋_GB2312" w:eastAsia="仿宋_GB2312" w:cs="仿宋_GB2312"/>
          <w:sz w:val="32"/>
          <w:szCs w:val="32"/>
        </w:rPr>
        <w:t>公司党委发挥领导作用，把方向、管大局、保落实，依照规定讨论和决定公司重大事项，参与公司重大问题的决策，支持董事会、监事会和经理层依法行使职权。主要职责是：</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加强公司党的政治建设。以习近平新时代中国特色社会主义思想为指导，教育引导全体党员深刻领悟“两个确立”的决定性意义，增强“四个意识”、坚定“四个自信”、做到“两个维护”，始终在政治立场、政治方向、政治原则、政治道路上同以习近平同志为核心的党中央保持高度一致；</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（二）加强公司党的基层组织建设。成立公司及所属企业党的基层组织，加强党员队伍建设，发挥党支部的战斗堡垒作用和党员的先锋模范作用；</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坚持和完善双向进入、交叉任职的领导体制。符合条件的党委领导班子成员可以通过法定程序进入董事会、监事会、经理层，董事会、监事会、经理层成员中符合条件的党员可以依照有关规定和程序进入党委；经理层成员与党委领导班子成员适度交叉任职。公司党委书记、董事长由同一人担任，董事长、总经理原则上分设；</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（四）决定公司干部任用，坚持党对公司选人用人的领导和把关作用，做好确定标准、规范程序、参与考察、推荐人选等方面工作；在公司领导人员选拔任用、培养教育、管理监督中负有考核、监督等职责；</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（五）领导公司思想政治工作、精神文明建设、统一战线工作，领导公司工会、共青团等群团组织；</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（六）落实全面从严治党主体责任，严明政治纪律和政治规矩，强化对重点部门和岗位的监督，加强廉政文化建设；支持纪委履行监督责任，纪委书记列席董事会、总经理办公会。</w:t>
      </w:r>
    </w:p>
    <w:p>
      <w:pPr>
        <w:spacing w:line="500" w:lineRule="exact"/>
        <w:ind w:firstLine="643" w:firstLineChars="200"/>
        <w:rPr>
          <w:rFonts w:ascii="仿宋_GB2312" w:hAnsi="仿宋_GB2312" w:eastAsia="仿宋_GB2312" w:cs="仿宋_GB2312"/>
          <w:sz w:val="32"/>
          <w:szCs w:val="32"/>
        </w:rPr>
      </w:pPr>
      <w:r>
        <w:rPr>
          <w:rFonts w:hint="eastAsia" w:ascii="黑体" w:hAnsi="黑体" w:eastAsia="黑体" w:cs="黑体"/>
          <w:b/>
          <w:bCs/>
          <w:sz w:val="32"/>
          <w:szCs w:val="32"/>
        </w:rPr>
        <w:t xml:space="preserve">第二十条  </w:t>
      </w:r>
      <w:r>
        <w:rPr>
          <w:rFonts w:hint="eastAsia" w:ascii="仿宋_GB2312" w:hAnsi="仿宋_GB2312" w:eastAsia="仿宋_GB2312" w:cs="仿宋_GB2312"/>
          <w:sz w:val="32"/>
          <w:szCs w:val="32"/>
        </w:rPr>
        <w:t>公司党委会议需前置研究再提交相关会议决定的重要事项：</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（一）公司战略规划、经营方向、体制机制、关停并转等重大事项；</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（二）公司产权转让、资本运作和大额投资等问题；</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（三）年度财务预决算，利润分配方案和亏损弥补方案，增加或者减少注册资本；</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（四）公司内部管理机构设置和调整，重要规章制度的制定和修改；</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（五）事关公司改革发展稳定、涉及公司职工切身利益等重大事项；</w:t>
      </w:r>
    </w:p>
    <w:p>
      <w:pPr>
        <w:spacing w:line="5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（六）其他需要先由公司党委会议研究讨论的重要事项。</w:t>
      </w:r>
    </w:p>
    <w:p>
      <w:pPr>
        <w:spacing w:line="500" w:lineRule="exact"/>
        <w:ind w:firstLine="643" w:firstLineChars="200"/>
        <w:rPr>
          <w:rFonts w:ascii="仿宋_GB2312" w:hAnsi="仿宋_GB2312" w:eastAsia="仿宋_GB2312" w:cs="仿宋_GB2312"/>
          <w:sz w:val="32"/>
          <w:szCs w:val="32"/>
        </w:rPr>
      </w:pPr>
      <w:r>
        <w:rPr>
          <w:rFonts w:hint="eastAsia" w:ascii="黑体" w:hAnsi="黑体" w:eastAsia="黑体" w:cs="黑体"/>
          <w:b/>
          <w:bCs/>
          <w:sz w:val="32"/>
          <w:szCs w:val="32"/>
        </w:rPr>
        <w:t xml:space="preserve">第二十一条  </w:t>
      </w:r>
      <w:r>
        <w:rPr>
          <w:rFonts w:hint="eastAsia" w:ascii="仿宋_GB2312" w:hAnsi="仿宋_GB2312" w:eastAsia="仿宋_GB2312" w:cs="仿宋_GB2312"/>
          <w:sz w:val="32"/>
          <w:szCs w:val="32"/>
        </w:rPr>
        <w:t>公司党委坚持和完善民主集中制，始终贯彻落实“集体领导、民主集中、个别酝酿、会议决定”的原则，凡属公司重大决策、重要人事任免、重大项目安排和大额度资金使用等事项，须经集体讨论决定。</w:t>
      </w:r>
    </w:p>
    <w:p>
      <w:pPr>
        <w:spacing w:line="500" w:lineRule="exact"/>
        <w:ind w:firstLine="643" w:firstLineChars="200"/>
        <w:rPr>
          <w:rFonts w:ascii="仿宋_GB2312" w:hAnsi="仿宋_GB2312" w:eastAsia="仿宋_GB2312" w:cs="仿宋_GB2312"/>
          <w:sz w:val="32"/>
          <w:szCs w:val="32"/>
        </w:rPr>
      </w:pPr>
      <w:r>
        <w:rPr>
          <w:rFonts w:hint="eastAsia" w:ascii="黑体" w:hAnsi="黑体" w:eastAsia="黑体" w:cs="黑体"/>
          <w:b/>
          <w:bCs/>
          <w:sz w:val="32"/>
          <w:szCs w:val="32"/>
        </w:rPr>
        <w:t xml:space="preserve">第二十二条  </w:t>
      </w:r>
      <w:r>
        <w:rPr>
          <w:rFonts w:hint="eastAsia" w:ascii="仿宋_GB2312" w:hAnsi="仿宋_GB2312" w:eastAsia="仿宋_GB2312" w:cs="仿宋_GB2312"/>
          <w:sz w:val="32"/>
          <w:szCs w:val="32"/>
        </w:rPr>
        <w:t>公司支持党建、群团工作，为党组织、工会、共青团等活动提供充足经费和必要条件。</w:t>
      </w:r>
    </w:p>
    <w:p>
      <w:pPr>
        <w:spacing w:beforeLines="50" w:afterLines="50" w:line="500" w:lineRule="exact"/>
        <w:ind w:right="482"/>
        <w:jc w:val="center"/>
        <w:rPr>
          <w:rFonts w:ascii="黑体" w:hAnsi="黑体" w:eastAsia="黑体" w:cs="黑体"/>
          <w:b/>
          <w:sz w:val="32"/>
          <w:szCs w:val="32"/>
        </w:rPr>
      </w:pPr>
      <w:r>
        <w:rPr>
          <w:rFonts w:hint="eastAsia" w:ascii="黑体" w:hAnsi="黑体" w:eastAsia="黑体" w:cs="黑体"/>
          <w:b/>
          <w:sz w:val="32"/>
          <w:szCs w:val="32"/>
        </w:rPr>
        <w:t>第五章  董事会</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第二十三条  </w:t>
      </w:r>
      <w:r>
        <w:rPr>
          <w:rFonts w:hint="eastAsia" w:ascii="仿宋_GB2312" w:hAnsi="仿宋_GB2312" w:eastAsia="仿宋_GB2312" w:cs="仿宋_GB2312"/>
          <w:sz w:val="32"/>
          <w:szCs w:val="32"/>
        </w:rPr>
        <w:t>董事会为公司的经营决策机构，对兰州大学负责。经兰大国资委授权，董事会可以行使公司出资人的部分职权。</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第二十四条  </w:t>
      </w:r>
      <w:r>
        <w:rPr>
          <w:rFonts w:hint="eastAsia" w:ascii="仿宋_GB2312" w:hAnsi="仿宋_GB2312" w:eastAsia="仿宋_GB2312" w:cs="仿宋_GB2312"/>
          <w:sz w:val="32"/>
          <w:szCs w:val="32"/>
        </w:rPr>
        <w:t>董事会由5—9人组成，设董事长1人，董事会成员由兰州大学委派。董事的任期每届为三年。董事任期届满，连选可以连任。</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第二十五条  </w:t>
      </w:r>
      <w:r>
        <w:rPr>
          <w:rFonts w:hint="eastAsia" w:ascii="仿宋_GB2312" w:hAnsi="仿宋_GB2312" w:eastAsia="仿宋_GB2312" w:cs="仿宋_GB2312"/>
          <w:sz w:val="32"/>
          <w:szCs w:val="32"/>
        </w:rPr>
        <w:t>董事会行使下列职权：</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（一）执行兰州大学的决议； </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（二）向兰大国资委报告工作；</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（三）决定公司的年度经营计划；</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（四）决定公司内部管理机构的设置；</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（五）决定公司的基本管理制度和工资分配制度，决定所属企业重要规章制度；</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六）通过委派股东代表参加所出资企业的股东会并出席股东会会议；依照公司章程向所属全资及控股企业委派董事、监事并推荐董事长、监事会负责人人选；向所属全资及控股企业提出高级管理人员的任免建议等方式，对其行使参与重大决策、选择经营管理者和获取投资收益等出资人权利；按照国家有关规定，加强对所出资企业的经营策略、投资活动和财务状况的研究分析和监督，并通过其股东会和董事会提出意见和作出决定；</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（七）制定以下计划和方案，报兰大国资委审议：</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1.修改公司章程的方案；</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2.公司的年度财务预算、决算方案和利润分配、弥补亏损方案；</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3.公司增加或者减少注册资本、发行公司债券的方案；</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4.公司分立、合并、破产、解散或变更公司形式的方案；</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5.公司国有资产产权变更方案；</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6.公司的重大投资、股权和资产转让、收购兼并方案；</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7.公司资产处置事项；</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8.公司借贷事项及公司为所出资企业借贷提供担保的事项；</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（八）兰大国资委授予的其他职权。</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第二十六条  </w:t>
      </w:r>
      <w:r>
        <w:rPr>
          <w:rFonts w:hint="eastAsia" w:ascii="仿宋_GB2312" w:hAnsi="仿宋_GB2312" w:eastAsia="仿宋_GB2312" w:cs="仿宋_GB2312"/>
          <w:sz w:val="32"/>
          <w:szCs w:val="32"/>
        </w:rPr>
        <w:t>董事会会议</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董事会会议必须有半数以上的董事参加方可举行。董事会会议由董事长召集和主持，董事长因特殊原因不能履行职务时，可以指定其他董事召集和主持。</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监事会特别建议时，可以召开董事会临时会议。</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第二十七条 </w:t>
      </w:r>
      <w:r>
        <w:rPr>
          <w:rFonts w:hint="eastAsia" w:ascii="仿宋_GB2312" w:hAnsi="仿宋_GB2312" w:eastAsia="仿宋_GB2312" w:cs="仿宋_GB2312"/>
          <w:sz w:val="32"/>
          <w:szCs w:val="32"/>
        </w:rPr>
        <w:t xml:space="preserve"> 召开董事会会议，应当于会议召开前将需经董事会审议的有关事项以书面方式送达每位董事。董事会会议应由董事本人出席，董事因故不能出席的，可书面委托其他董事出席并代为行使表决权。委托书应当载明所委托的事项及委托时限。</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第二十八条 </w:t>
      </w:r>
      <w:r>
        <w:rPr>
          <w:rFonts w:hint="eastAsia" w:ascii="仿宋_GB2312" w:hAnsi="仿宋_GB2312" w:eastAsia="仿宋_GB2312" w:cs="仿宋_GB2312"/>
          <w:sz w:val="32"/>
          <w:szCs w:val="32"/>
        </w:rPr>
        <w:t xml:space="preserve"> 董事会作出决议，必须经全体董事的三分之二以上通过。董事会决议的表决，实行一人一票。</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第二十九条 </w:t>
      </w:r>
      <w:r>
        <w:rPr>
          <w:rFonts w:hint="eastAsia" w:ascii="仿宋_GB2312" w:hAnsi="仿宋_GB2312" w:eastAsia="仿宋_GB2312" w:cs="仿宋_GB2312"/>
          <w:sz w:val="32"/>
          <w:szCs w:val="32"/>
        </w:rPr>
        <w:t xml:space="preserve"> 董事会会议的决议由与会董事记名表决。董事会应当对所议事项的决定形成会议纪要，出席会议的董事应当在会议纪要上签名。董事对所议事项有反对意见，应当在会议记录中做出记载。</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第三十条 </w:t>
      </w:r>
      <w:r>
        <w:rPr>
          <w:rFonts w:hint="eastAsia" w:ascii="仿宋_GB2312" w:hAnsi="仿宋_GB2312" w:eastAsia="仿宋_GB2312" w:cs="仿宋_GB2312"/>
          <w:sz w:val="32"/>
          <w:szCs w:val="32"/>
        </w:rPr>
        <w:t xml:space="preserve"> 董事长行使下列职权：</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（一）召集和主持董事会会议；</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（二）检查董事会决议的实施情况；</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（三）代表公司签署有关法律文件；</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（四）董事会授予的其他职权。</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第三十一条  </w:t>
      </w:r>
      <w:r>
        <w:rPr>
          <w:rFonts w:hint="eastAsia" w:ascii="仿宋_GB2312" w:hAnsi="仿宋_GB2312" w:eastAsia="仿宋_GB2312" w:cs="仿宋_GB2312"/>
          <w:sz w:val="32"/>
          <w:szCs w:val="32"/>
        </w:rPr>
        <w:t>董事会应遵守公司章程，维护出资人利益，按照《公司法》相关规定，忠实履行职责。</w:t>
      </w:r>
    </w:p>
    <w:p>
      <w:pPr>
        <w:spacing w:beforeLines="50" w:afterLines="50" w:line="500" w:lineRule="exact"/>
        <w:ind w:right="482"/>
        <w:jc w:val="center"/>
        <w:rPr>
          <w:rFonts w:ascii="黑体" w:hAnsi="黑体" w:eastAsia="黑体" w:cs="黑体"/>
          <w:b/>
          <w:sz w:val="32"/>
          <w:szCs w:val="32"/>
        </w:rPr>
      </w:pPr>
      <w:r>
        <w:rPr>
          <w:rFonts w:hint="eastAsia" w:ascii="黑体" w:hAnsi="黑体" w:eastAsia="黑体" w:cs="黑体"/>
          <w:b/>
          <w:sz w:val="32"/>
          <w:szCs w:val="32"/>
        </w:rPr>
        <w:t>第六章  监事会</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第三十二条  </w:t>
      </w:r>
      <w:r>
        <w:rPr>
          <w:rFonts w:hint="eastAsia" w:ascii="仿宋_GB2312" w:hAnsi="仿宋_GB2312" w:eastAsia="仿宋_GB2312" w:cs="仿宋_GB2312"/>
          <w:sz w:val="32"/>
          <w:szCs w:val="32"/>
        </w:rPr>
        <w:t>依照《公司法》的规定，公司设立监事会。监事会为公司的监督机构，向兰大国资委负责，对董事会及其成员和高级管理人员的行为行使监督职责。</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第三十三条  </w:t>
      </w:r>
      <w:r>
        <w:rPr>
          <w:rFonts w:hint="eastAsia" w:ascii="仿宋_GB2312" w:hAnsi="仿宋_GB2312" w:eastAsia="仿宋_GB2312" w:cs="仿宋_GB2312"/>
          <w:sz w:val="32"/>
          <w:szCs w:val="32"/>
        </w:rPr>
        <w:t>监事会由3—5人组成，设监事会主席1人，监事由兰州大学委派，其中1人为公司职工代表。监事的任期每届为三年。监事任期届满，连选可以连任。董事、高级管理人员不得兼任监事。</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第三十四条  </w:t>
      </w:r>
      <w:r>
        <w:rPr>
          <w:rFonts w:hint="eastAsia" w:ascii="仿宋_GB2312" w:hAnsi="仿宋_GB2312" w:eastAsia="仿宋_GB2312" w:cs="仿宋_GB2312"/>
          <w:sz w:val="32"/>
          <w:szCs w:val="32"/>
        </w:rPr>
        <w:t>监事会每年度至少召开一次会议，由监事会主席主持。监事可以提议召开临时监事会会议。</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监事会会议须有三分之二以上的监事参加方可举行。监事会会议的决议应当由监事记名表决，经全体监事三分之二以上同意方为有效。监事会会议应当对所议事项和决议形成会议纪要，出席会议的监事应当在会议纪要上签名。监事对所议事项有反对意见，应当在会议记录中做出记载。</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第三十五条  </w:t>
      </w:r>
      <w:r>
        <w:rPr>
          <w:rFonts w:hint="eastAsia" w:ascii="仿宋_GB2312" w:hAnsi="仿宋_GB2312" w:eastAsia="仿宋_GB2312" w:cs="仿宋_GB2312"/>
          <w:sz w:val="32"/>
          <w:szCs w:val="32"/>
        </w:rPr>
        <w:t>监事会行使下列职权：</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（一）检查公司财务；</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（二）对董事、总经理、副总经理和其他高级管理人员行使职权进行监督；</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（三）当董事、总经理、副总经理和其他高级管理人员的行为损害公司的利益时，要求上述人员予以纠正；</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（四）提议召开兰大国资委临时会议或者董事会临时会议；</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（五）兰大国资委授予的其他职权。</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监事会行使职权时可以委托律师、注册会计师等专业人员协助，其费用由公司承担。</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第三十六条 </w:t>
      </w:r>
      <w:r>
        <w:rPr>
          <w:rFonts w:hint="eastAsia" w:ascii="仿宋_GB2312" w:hAnsi="仿宋_GB2312" w:eastAsia="仿宋_GB2312" w:cs="仿宋_GB2312"/>
          <w:b/>
          <w:bCs/>
          <w:sz w:val="32"/>
          <w:szCs w:val="32"/>
        </w:rPr>
        <w:t xml:space="preserve"> </w:t>
      </w:r>
      <w:r>
        <w:rPr>
          <w:rFonts w:hint="eastAsia" w:ascii="仿宋_GB2312" w:hAnsi="仿宋_GB2312" w:eastAsia="仿宋_GB2312" w:cs="仿宋_GB2312"/>
          <w:sz w:val="32"/>
          <w:szCs w:val="32"/>
        </w:rPr>
        <w:t>监事会主席行使下列职权：</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（一）召集和主持监事会会议；</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（二）检查监事会决议的落实情况；</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（三）向兰大国资委报告工作。</w:t>
      </w:r>
    </w:p>
    <w:p>
      <w:pPr>
        <w:spacing w:beforeLines="50" w:afterLines="50" w:line="500" w:lineRule="exact"/>
        <w:ind w:right="482"/>
        <w:jc w:val="center"/>
        <w:rPr>
          <w:rFonts w:ascii="黑体" w:hAnsi="黑体" w:eastAsia="黑体" w:cs="黑体"/>
          <w:b/>
          <w:sz w:val="32"/>
          <w:szCs w:val="32"/>
        </w:rPr>
      </w:pPr>
      <w:r>
        <w:rPr>
          <w:rFonts w:hint="eastAsia" w:ascii="黑体" w:hAnsi="黑体" w:eastAsia="黑体" w:cs="黑体"/>
          <w:b/>
          <w:sz w:val="32"/>
          <w:szCs w:val="32"/>
        </w:rPr>
        <w:t>第七章  经营管理机构</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第三十七条 </w:t>
      </w:r>
      <w:r>
        <w:rPr>
          <w:rFonts w:hint="eastAsia" w:ascii="仿宋_GB2312" w:hAnsi="仿宋_GB2312" w:eastAsia="仿宋_GB2312" w:cs="仿宋_GB2312"/>
          <w:sz w:val="32"/>
          <w:szCs w:val="32"/>
        </w:rPr>
        <w:t xml:space="preserve"> 公司设总经理1人，副总经理若干人，可根据工作需要设财务总监。总经理、副总经理人选由兰州大学发文聘任或者解聘。总经理对董事会负责。</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第三十八条  </w:t>
      </w:r>
      <w:r>
        <w:rPr>
          <w:rFonts w:hint="eastAsia" w:ascii="仿宋_GB2312" w:hAnsi="仿宋_GB2312" w:eastAsia="仿宋_GB2312" w:cs="仿宋_GB2312"/>
          <w:sz w:val="32"/>
          <w:szCs w:val="32"/>
        </w:rPr>
        <w:t>总经理行使下列职权：</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（一）组织实施董事会的决议，按规定向董事会报告公司财务状况、生产经营状况和国有资产保值增值情况；</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（二）主持公司的经营管理工作；</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（三）拟订公司的发展计划和年度经营计划；</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（四）拟订公司内部管理机构的设置方案，决定内部管理机构的人员配置；</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（五）拟订公司员工的工资分配和奖励方案；</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（六）拟订公司的基本管理制度；</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（七）制定公司的具体规章制度；</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（八）提出投资、股权转让、收购兼并以及被投资企业的股权变更等预案；</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（九）向董事会提出聘任或解聘公司副总经理、财务主管及其他高级管理人员的提议；</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（十）聘任以及解聘除应由董事会聘任或者解聘以外的其他管理人员；</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（十一）经董事长授权，代表公司签订合同、协议等文件；</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（十二）提请董事会对董事会否决的决议进行复议；</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（十三）董事会授予的其他职权。</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副总经理和其他高级管理人员按照其分工，协助总经理工作。</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第三十九条  </w:t>
      </w:r>
      <w:r>
        <w:rPr>
          <w:rFonts w:hint="eastAsia" w:ascii="仿宋_GB2312" w:hAnsi="仿宋_GB2312" w:eastAsia="仿宋_GB2312" w:cs="仿宋_GB2312"/>
          <w:sz w:val="32"/>
          <w:szCs w:val="32"/>
        </w:rPr>
        <w:t>总经理办公会议由总经理召集和主持，副总经理及其他高级管理人员参加。总经理因特殊原因不能参加会议，可指定副总经理召集和主持，被指定的副总经理应在会后向总经理报告会议情况及决议通过的情况。总经理办公会议的议题经充分讨论后，应形成会议纪要，重大事项应形成会议决议，经总经理签署后执行。参加会议的人员对所议事项有反对意见，应当在会议记录中做出记载。总经理对所议事项具有最终决策权，并承担相应的责任。</w:t>
      </w:r>
    </w:p>
    <w:p>
      <w:pPr>
        <w:spacing w:beforeLines="50" w:afterLines="50" w:line="500" w:lineRule="exact"/>
        <w:ind w:right="482"/>
        <w:jc w:val="center"/>
        <w:rPr>
          <w:rFonts w:ascii="黑体" w:hAnsi="黑体" w:eastAsia="黑体" w:cs="黑体"/>
          <w:b/>
          <w:sz w:val="32"/>
          <w:szCs w:val="32"/>
        </w:rPr>
      </w:pPr>
      <w:r>
        <w:rPr>
          <w:rFonts w:hint="eastAsia" w:ascii="黑体" w:hAnsi="黑体" w:eastAsia="黑体" w:cs="黑体"/>
          <w:b/>
          <w:sz w:val="32"/>
          <w:szCs w:val="32"/>
        </w:rPr>
        <w:t>第八章  财务管理和会计制度</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第四十条 </w:t>
      </w:r>
      <w:r>
        <w:rPr>
          <w:rFonts w:hint="eastAsia" w:ascii="仿宋_GB2312" w:hAnsi="仿宋_GB2312" w:eastAsia="仿宋_GB2312" w:cs="仿宋_GB2312"/>
          <w:sz w:val="32"/>
          <w:szCs w:val="32"/>
        </w:rPr>
        <w:t xml:space="preserve"> 公司依照《中华人民共和国会计法》、企业会计制度和其他有关法律、法规，建立公司的财务会计制度，健全内部财务监督机制。</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第四十一条  </w:t>
      </w:r>
      <w:r>
        <w:rPr>
          <w:rFonts w:hint="eastAsia" w:ascii="仿宋_GB2312" w:hAnsi="仿宋_GB2312" w:eastAsia="仿宋_GB2312" w:cs="仿宋_GB2312"/>
          <w:sz w:val="32"/>
          <w:szCs w:val="32"/>
        </w:rPr>
        <w:t>会计凭证、账簿、报表用中文书写，采用人民币为记账本位币。会计年度为公历年度，即公历1月1日至12月31日。</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第四十二条  </w:t>
      </w:r>
      <w:r>
        <w:rPr>
          <w:rFonts w:hint="eastAsia" w:ascii="仿宋_GB2312" w:hAnsi="仿宋_GB2312" w:eastAsia="仿宋_GB2312" w:cs="仿宋_GB2312"/>
          <w:sz w:val="32"/>
          <w:szCs w:val="32"/>
        </w:rPr>
        <w:t>公司采用权责发生制和借贷记账法记账。</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第四十三条 </w:t>
      </w:r>
      <w:r>
        <w:rPr>
          <w:rFonts w:hint="eastAsia" w:ascii="仿宋_GB2312" w:hAnsi="仿宋_GB2312" w:eastAsia="仿宋_GB2312" w:cs="仿宋_GB2312"/>
          <w:sz w:val="32"/>
          <w:szCs w:val="32"/>
        </w:rPr>
        <w:t xml:space="preserve"> 每一会计年度终了，应及时按规定编制年度财务会计报告，年度财务会计报告经会计师事务所审计后报送相关部门。</w:t>
      </w:r>
    </w:p>
    <w:p>
      <w:pPr>
        <w:spacing w:beforeLines="50" w:afterLines="50" w:line="500" w:lineRule="exact"/>
        <w:ind w:right="482"/>
        <w:jc w:val="center"/>
        <w:rPr>
          <w:rFonts w:ascii="黑体" w:hAnsi="黑体" w:eastAsia="黑体" w:cs="黑体"/>
          <w:b/>
          <w:sz w:val="32"/>
          <w:szCs w:val="32"/>
        </w:rPr>
      </w:pPr>
      <w:r>
        <w:rPr>
          <w:rFonts w:hint="eastAsia" w:ascii="黑体" w:hAnsi="黑体" w:eastAsia="黑体" w:cs="黑体"/>
          <w:b/>
          <w:sz w:val="32"/>
          <w:szCs w:val="32"/>
        </w:rPr>
        <w:t>第九章  税收和利润分配</w:t>
      </w:r>
    </w:p>
    <w:p>
      <w:pPr>
        <w:spacing w:line="500" w:lineRule="exact"/>
        <w:ind w:firstLine="630" w:firstLineChars="196"/>
        <w:rPr>
          <w:rFonts w:ascii="仿宋_GB2312" w:hAnsi="仿宋_GB2312" w:eastAsia="仿宋_GB2312" w:cs="仿宋_GB2312"/>
          <w:bCs/>
          <w:sz w:val="32"/>
          <w:szCs w:val="32"/>
        </w:rPr>
      </w:pPr>
      <w:r>
        <w:rPr>
          <w:rFonts w:hint="eastAsia" w:ascii="黑体" w:hAnsi="黑体" w:eastAsia="黑体" w:cs="黑体"/>
          <w:b/>
          <w:bCs/>
          <w:sz w:val="32"/>
          <w:szCs w:val="32"/>
        </w:rPr>
        <w:t xml:space="preserve">第四十四条  </w:t>
      </w:r>
      <w:r>
        <w:rPr>
          <w:rFonts w:hint="eastAsia" w:ascii="仿宋_GB2312" w:hAnsi="仿宋_GB2312" w:eastAsia="仿宋_GB2312" w:cs="仿宋_GB2312"/>
          <w:bCs/>
          <w:sz w:val="32"/>
          <w:szCs w:val="32"/>
        </w:rPr>
        <w:t>公司严格遵守国家的税收法律、法规，诚信经营，照章纳税。</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第四十五条 </w:t>
      </w:r>
      <w:r>
        <w:rPr>
          <w:rFonts w:hint="eastAsia" w:ascii="仿宋_GB2312" w:hAnsi="仿宋_GB2312" w:eastAsia="仿宋_GB2312" w:cs="仿宋_GB2312"/>
          <w:sz w:val="32"/>
          <w:szCs w:val="32"/>
        </w:rPr>
        <w:t xml:space="preserve"> 公司的利润按以下顺序分配：</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（一）提取10% 的法定公积金。法定公积金不足以弥补上一年度的公司亏损时，应当先用当年利润弥补亏损；</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（二）经兰大国资委审议，可以从税后利润中提取任意公积金；</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（三）在剩余的未分配利润中，按照兰大国资委审议的数额上交学校，进入学校的年度财务预算。</w:t>
      </w:r>
    </w:p>
    <w:p>
      <w:pPr>
        <w:spacing w:beforeLines="50" w:afterLines="50" w:line="500" w:lineRule="exact"/>
        <w:ind w:right="482"/>
        <w:jc w:val="center"/>
        <w:rPr>
          <w:rFonts w:ascii="黑体" w:hAnsi="黑体" w:eastAsia="黑体" w:cs="黑体"/>
          <w:b/>
          <w:sz w:val="32"/>
          <w:szCs w:val="32"/>
        </w:rPr>
      </w:pPr>
      <w:r>
        <w:rPr>
          <w:rFonts w:hint="eastAsia" w:ascii="黑体" w:hAnsi="黑体" w:eastAsia="黑体" w:cs="黑体"/>
          <w:b/>
          <w:sz w:val="32"/>
          <w:szCs w:val="32"/>
        </w:rPr>
        <w:t>第十章  劳动人事和工资分配制度</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第四十六条  </w:t>
      </w:r>
      <w:r>
        <w:rPr>
          <w:rFonts w:hint="eastAsia" w:ascii="仿宋_GB2312" w:hAnsi="仿宋_GB2312" w:eastAsia="仿宋_GB2312" w:cs="仿宋_GB2312"/>
          <w:sz w:val="32"/>
          <w:szCs w:val="32"/>
        </w:rPr>
        <w:t>根据《中华人民共和国劳动法》（以下简称《劳动法》）的规定，按照“择优聘任，竞争上岗”的原则，公司实施公司与员工双向选择的劳动用工制度。公司与职工签订劳动合同，确定劳动关系，明确双方的责任和权利。</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第四十七条  </w:t>
      </w:r>
      <w:r>
        <w:rPr>
          <w:rFonts w:hint="eastAsia" w:ascii="仿宋_GB2312" w:hAnsi="仿宋_GB2312" w:eastAsia="仿宋_GB2312" w:cs="仿宋_GB2312"/>
          <w:sz w:val="32"/>
          <w:szCs w:val="32"/>
        </w:rPr>
        <w:t>公司根据国家的政策，坚持“按劳动贡献分配为主体，多种分配方式并存”“劳动、资本、技术和管理等生产要素按贡献参与分配”“效率优先，兼顾公平”的原则，自主确定公司员工的工资标准和分配办法。</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第四十八条 </w:t>
      </w:r>
      <w:r>
        <w:rPr>
          <w:rFonts w:hint="eastAsia" w:ascii="仿宋_GB2312" w:hAnsi="仿宋_GB2312" w:eastAsia="仿宋_GB2312" w:cs="仿宋_GB2312"/>
          <w:sz w:val="32"/>
          <w:szCs w:val="32"/>
        </w:rPr>
        <w:t xml:space="preserve"> 经出资人批准，公司总经理、副总经理和其他高级管理人员可以实行年薪制。年薪根据本人在公司经营中承担的责任和公司的经营业绩确定，每年调整一次。总经理、副总经理和其他高级管理人员的年薪由董事会决定。公司的其他员工实行以岗位为基础、与工作能力和工作业绩挂钩的浮动工资制。</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第四十九条</w:t>
      </w:r>
      <w:r>
        <w:rPr>
          <w:rFonts w:hint="eastAsia" w:ascii="仿宋_GB2312" w:hAnsi="仿宋_GB2312" w:eastAsia="仿宋_GB2312" w:cs="仿宋_GB2312"/>
          <w:sz w:val="32"/>
          <w:szCs w:val="32"/>
        </w:rPr>
        <w:t xml:space="preserve">  公司建立绩效考核体系，对全体员工定期进行考核，并以考核结果作为确定其薪酬的依据。</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第五十条 </w:t>
      </w:r>
      <w:r>
        <w:rPr>
          <w:rFonts w:hint="eastAsia" w:ascii="仿宋_GB2312" w:hAnsi="仿宋_GB2312" w:eastAsia="仿宋_GB2312" w:cs="仿宋_GB2312"/>
          <w:sz w:val="32"/>
          <w:szCs w:val="32"/>
        </w:rPr>
        <w:t xml:space="preserve"> 经公司董事会同意，可以对为公司的经营业绩做出重大贡献的经营管理人员进行奖励。对总经理的奖励由董事会决定；对其他员工的奖励在董事会授权的范围内，由总经理决定。</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第五十一条</w:t>
      </w:r>
      <w:r>
        <w:rPr>
          <w:rFonts w:hint="eastAsia" w:ascii="仿宋_GB2312" w:hAnsi="仿宋_GB2312" w:eastAsia="仿宋_GB2312" w:cs="仿宋_GB2312"/>
          <w:sz w:val="32"/>
          <w:szCs w:val="32"/>
        </w:rPr>
        <w:t xml:space="preserve">  公司向所出资企业派出的董事、监事，原则上不得在这些企业领取薪酬。经董事会许可或公司有特殊规定的除外。</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第五十二条  </w:t>
      </w:r>
      <w:r>
        <w:rPr>
          <w:rFonts w:hint="eastAsia" w:ascii="仿宋_GB2312" w:hAnsi="仿宋_GB2312" w:eastAsia="仿宋_GB2312" w:cs="仿宋_GB2312"/>
          <w:sz w:val="32"/>
          <w:szCs w:val="32"/>
        </w:rPr>
        <w:t>按照国家有关规定，公司的年度工资总额，依据公司的经营情况由兰大国资委确定。当年员工实发工资的增长幅度不得超过公司经营效益的增长幅度。</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第五十三条 </w:t>
      </w:r>
      <w:r>
        <w:rPr>
          <w:rFonts w:hint="eastAsia" w:ascii="仿宋_GB2312" w:hAnsi="仿宋_GB2312" w:eastAsia="仿宋_GB2312" w:cs="仿宋_GB2312"/>
          <w:b/>
          <w:bCs/>
          <w:sz w:val="32"/>
          <w:szCs w:val="32"/>
        </w:rPr>
        <w:t xml:space="preserve"> </w:t>
      </w:r>
      <w:r>
        <w:rPr>
          <w:rFonts w:hint="eastAsia" w:ascii="仿宋_GB2312" w:hAnsi="仿宋_GB2312" w:eastAsia="仿宋_GB2312" w:cs="仿宋_GB2312"/>
          <w:sz w:val="32"/>
          <w:szCs w:val="32"/>
        </w:rPr>
        <w:t>公司按照《劳动法》和《劳动合同法》的规定，建立员工社会保险和住房公积金制度。</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第五十四条  </w:t>
      </w:r>
      <w:r>
        <w:rPr>
          <w:rFonts w:hint="eastAsia" w:ascii="仿宋_GB2312" w:hAnsi="仿宋_GB2312" w:eastAsia="仿宋_GB2312" w:cs="仿宋_GB2312"/>
          <w:sz w:val="32"/>
          <w:szCs w:val="32"/>
        </w:rPr>
        <w:t>公司设立劳动争议调解小组，根据“合法、公正、及时”的原则，负责调解处理公司内部的各种劳动争议，依法维护劳动争议当事人的合法权益。</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公司劳动人事争议可提交兰州市城关区劳动人事争议仲裁委员会进行调解。</w:t>
      </w:r>
    </w:p>
    <w:p>
      <w:pPr>
        <w:spacing w:beforeLines="50" w:afterLines="50" w:line="500" w:lineRule="exact"/>
        <w:ind w:right="482"/>
        <w:jc w:val="center"/>
        <w:rPr>
          <w:rFonts w:ascii="黑体" w:hAnsi="黑体" w:eastAsia="黑体" w:cs="黑体"/>
          <w:b/>
          <w:sz w:val="32"/>
          <w:szCs w:val="32"/>
        </w:rPr>
      </w:pPr>
      <w:r>
        <w:rPr>
          <w:rFonts w:hint="eastAsia" w:ascii="黑体" w:hAnsi="黑体" w:eastAsia="黑体" w:cs="黑体"/>
          <w:b/>
          <w:sz w:val="32"/>
          <w:szCs w:val="32"/>
        </w:rPr>
        <w:t>第十一章  合并、分立、增资、减资</w:t>
      </w:r>
    </w:p>
    <w:p>
      <w:pPr>
        <w:spacing w:line="500" w:lineRule="exact"/>
        <w:ind w:firstLine="630" w:firstLineChars="196"/>
        <w:jc w:val="left"/>
        <w:rPr>
          <w:rFonts w:ascii="仿宋_GB2312" w:hAnsi="仿宋_GB2312" w:eastAsia="仿宋_GB2312" w:cs="仿宋_GB2312"/>
          <w:sz w:val="32"/>
          <w:szCs w:val="32"/>
        </w:rPr>
      </w:pPr>
      <w:r>
        <w:rPr>
          <w:rFonts w:hint="eastAsia" w:ascii="黑体" w:hAnsi="黑体" w:eastAsia="黑体" w:cs="黑体"/>
          <w:b/>
          <w:bCs/>
          <w:sz w:val="32"/>
          <w:szCs w:val="32"/>
        </w:rPr>
        <w:t xml:space="preserve">第五十五条 </w:t>
      </w:r>
      <w:r>
        <w:rPr>
          <w:rFonts w:hint="eastAsia" w:ascii="仿宋_GB2312" w:hAnsi="仿宋_GB2312" w:eastAsia="仿宋_GB2312" w:cs="仿宋_GB2312"/>
          <w:sz w:val="32"/>
          <w:szCs w:val="32"/>
        </w:rPr>
        <w:t xml:space="preserve"> 公司经学校批准，可依法实施合并或者分立行为。公司合并、分立按照《公司法》规定执行。</w:t>
      </w:r>
    </w:p>
    <w:p>
      <w:pPr>
        <w:spacing w:line="500" w:lineRule="exact"/>
        <w:ind w:firstLine="630" w:firstLineChars="196"/>
        <w:jc w:val="left"/>
        <w:rPr>
          <w:rFonts w:ascii="仿宋_GB2312" w:hAnsi="仿宋_GB2312" w:eastAsia="仿宋_GB2312" w:cs="仿宋_GB2312"/>
          <w:sz w:val="32"/>
          <w:szCs w:val="32"/>
        </w:rPr>
      </w:pPr>
      <w:r>
        <w:rPr>
          <w:rFonts w:hint="eastAsia" w:ascii="黑体" w:hAnsi="黑体" w:eastAsia="黑体" w:cs="黑体"/>
          <w:b/>
          <w:bCs/>
          <w:sz w:val="32"/>
          <w:szCs w:val="32"/>
        </w:rPr>
        <w:t>第五十六条</w:t>
      </w:r>
      <w:r>
        <w:rPr>
          <w:rFonts w:hint="eastAsia" w:ascii="仿宋_GB2312" w:hAnsi="仿宋_GB2312" w:eastAsia="仿宋_GB2312" w:cs="仿宋_GB2312"/>
          <w:sz w:val="32"/>
          <w:szCs w:val="32"/>
        </w:rPr>
        <w:t xml:space="preserve">  公司经学校批准，可增加或减少注册资本。公司增资、减资行为按照《公司法》规定执行。经学校批准的增加或减少注册资本，可在本章程第十四条“公司注册资本”中直接自然变更资金数额。</w:t>
      </w:r>
    </w:p>
    <w:p>
      <w:pPr>
        <w:spacing w:line="500" w:lineRule="exact"/>
        <w:ind w:firstLine="630" w:firstLineChars="196"/>
        <w:jc w:val="left"/>
        <w:rPr>
          <w:rFonts w:ascii="仿宋_GB2312" w:hAnsi="仿宋_GB2312" w:eastAsia="仿宋_GB2312" w:cs="仿宋_GB2312"/>
          <w:sz w:val="32"/>
          <w:szCs w:val="32"/>
        </w:rPr>
      </w:pPr>
      <w:r>
        <w:rPr>
          <w:rFonts w:hint="eastAsia" w:ascii="黑体" w:hAnsi="黑体" w:eastAsia="黑体" w:cs="黑体"/>
          <w:b/>
          <w:bCs/>
          <w:sz w:val="32"/>
          <w:szCs w:val="32"/>
        </w:rPr>
        <w:t xml:space="preserve">第五十七条  </w:t>
      </w:r>
      <w:r>
        <w:rPr>
          <w:rFonts w:hint="eastAsia" w:ascii="仿宋_GB2312" w:hAnsi="仿宋_GB2312" w:eastAsia="仿宋_GB2312" w:cs="仿宋_GB2312"/>
          <w:sz w:val="32"/>
          <w:szCs w:val="32"/>
        </w:rPr>
        <w:t>公司发生合并分立与增资减资等事项时，应当依法向公司登记机关办理变更登记手续。</w:t>
      </w:r>
    </w:p>
    <w:p>
      <w:pPr>
        <w:spacing w:beforeLines="50" w:afterLines="50" w:line="500" w:lineRule="exact"/>
        <w:ind w:right="482"/>
        <w:jc w:val="center"/>
        <w:rPr>
          <w:rFonts w:ascii="黑体" w:hAnsi="黑体" w:eastAsia="黑体" w:cs="黑体"/>
          <w:b/>
          <w:sz w:val="32"/>
          <w:szCs w:val="32"/>
        </w:rPr>
      </w:pPr>
      <w:r>
        <w:rPr>
          <w:rFonts w:hint="eastAsia" w:ascii="黑体" w:hAnsi="黑体" w:eastAsia="黑体" w:cs="黑体"/>
          <w:b/>
          <w:sz w:val="32"/>
          <w:szCs w:val="32"/>
        </w:rPr>
        <w:t>第十二章  解散和清算</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第五十八条  </w:t>
      </w:r>
      <w:r>
        <w:rPr>
          <w:rFonts w:hint="eastAsia" w:ascii="仿宋_GB2312" w:hAnsi="仿宋_GB2312" w:eastAsia="仿宋_GB2312" w:cs="仿宋_GB2312"/>
          <w:sz w:val="32"/>
          <w:szCs w:val="32"/>
        </w:rPr>
        <w:t>公司有下列情形之一时，应当终止并进行清算：</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（一）公司章程规定的营业期限届满或者公司章程规定的其他解散事由出现；</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（二）出资人决定解散；</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（三）因违反国家法律、法规，危害社会公共利益，被依法责令关闭；</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（四）因经营严重亏损，不能清偿到期债务，依法宣告破产。</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第五十九条 </w:t>
      </w:r>
      <w:r>
        <w:rPr>
          <w:rFonts w:hint="eastAsia" w:ascii="仿宋_GB2312" w:hAnsi="仿宋_GB2312" w:eastAsia="仿宋_GB2312" w:cs="仿宋_GB2312"/>
          <w:sz w:val="32"/>
          <w:szCs w:val="32"/>
        </w:rPr>
        <w:t xml:space="preserve"> 公司因第五十八条第（一）、（二）款的原因终止的，由出资人委派清算组进行清算。其中有第五十八条第（一）款情形的，可以通过修改公司章程而存续。</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公司因第五十八条第（三）款的原因被责令关闭的，由主管机关依照有关法律规定，组织清算组，对公司进行撤销清算。公司因第五十八条第（四）款的原因终止的，由人民法院依照《破产法》的规定，组织清算组，对公司进行破产清算。</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第六十条 </w:t>
      </w:r>
      <w:r>
        <w:rPr>
          <w:rFonts w:hint="eastAsia" w:ascii="仿宋_GB2312" w:hAnsi="仿宋_GB2312" w:eastAsia="仿宋_GB2312" w:cs="仿宋_GB2312"/>
          <w:sz w:val="32"/>
          <w:szCs w:val="32"/>
        </w:rPr>
        <w:t xml:space="preserve"> 清算组在清算期间行使下列职权：</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（一）清理公司财产，编制资产负债表和财产清单；</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（二）通知、公告债权人；</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（三）清缴所欠税款以及清算过程中产生的税款；</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（四）处理公司的债权、债务；</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（五）处理与清算有关的公司未了结的业务；</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（六）处理公司清偿债务后的剩余财产；</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（七）代表公司参与诉讼活动。</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第六十一条</w:t>
      </w:r>
      <w:r>
        <w:rPr>
          <w:rFonts w:hint="eastAsia" w:ascii="仿宋_GB2312" w:hAnsi="仿宋_GB2312" w:eastAsia="仿宋_GB2312" w:cs="仿宋_GB2312"/>
          <w:b/>
          <w:bCs/>
          <w:sz w:val="32"/>
          <w:szCs w:val="32"/>
        </w:rPr>
        <w:t xml:space="preserve">  </w:t>
      </w:r>
      <w:r>
        <w:rPr>
          <w:rFonts w:hint="eastAsia" w:ascii="仿宋_GB2312" w:hAnsi="仿宋_GB2312" w:eastAsia="仿宋_GB2312" w:cs="仿宋_GB2312"/>
          <w:sz w:val="32"/>
          <w:szCs w:val="32"/>
        </w:rPr>
        <w:t>公司进入清算程序后，不得再从事经营活动。未经清算组批准，任何人不得处置公司的财产。</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第六十二条  </w:t>
      </w:r>
      <w:r>
        <w:rPr>
          <w:rFonts w:hint="eastAsia" w:ascii="仿宋_GB2312" w:hAnsi="仿宋_GB2312" w:eastAsia="仿宋_GB2312" w:cs="仿宋_GB2312"/>
          <w:sz w:val="32"/>
          <w:szCs w:val="32"/>
        </w:rPr>
        <w:t>公司清算的资产，按下列顺序进行清偿：</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（一）支付清算费用；</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（二）偿付所欠公司员工的工资、社会保险费；</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（三）偿付所欠税款和法律、法规规定应缴纳的税收附加、基金等；</w:t>
      </w:r>
    </w:p>
    <w:p>
      <w:pPr>
        <w:spacing w:line="50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（四）偿付公司的债务。</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第六十三条 </w:t>
      </w:r>
      <w:r>
        <w:rPr>
          <w:rFonts w:hint="eastAsia" w:ascii="仿宋_GB2312" w:hAnsi="仿宋_GB2312" w:eastAsia="仿宋_GB2312" w:cs="仿宋_GB2312"/>
          <w:b/>
          <w:bCs/>
          <w:sz w:val="32"/>
          <w:szCs w:val="32"/>
        </w:rPr>
        <w:t xml:space="preserve"> </w:t>
      </w:r>
      <w:r>
        <w:rPr>
          <w:rFonts w:hint="eastAsia" w:ascii="仿宋_GB2312" w:hAnsi="仿宋_GB2312" w:eastAsia="仿宋_GB2312" w:cs="仿宋_GB2312"/>
          <w:sz w:val="32"/>
          <w:szCs w:val="32"/>
        </w:rPr>
        <w:t>在非按照破产程序进行的清算中，清算组发现公司财产不足以清偿债务时，应当立即停止清算，并向人民法院申请破产。公司经人民法院裁定宣告破产后，清算组应当向人民法院移交清算事务。</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第六十四条 </w:t>
      </w:r>
      <w:r>
        <w:rPr>
          <w:rFonts w:hint="eastAsia" w:ascii="仿宋_GB2312" w:hAnsi="仿宋_GB2312" w:eastAsia="仿宋_GB2312" w:cs="仿宋_GB2312"/>
          <w:sz w:val="32"/>
          <w:szCs w:val="32"/>
        </w:rPr>
        <w:t xml:space="preserve"> 清算结束后，清算组应当提供清算报告及清算期内的收支报表和各种财务账册，经出资人批准后，向工商行政管理部门和税务机关办理公司注销登记手续，并向社会公告。</w:t>
      </w:r>
    </w:p>
    <w:p>
      <w:pPr>
        <w:spacing w:beforeLines="50" w:afterLines="50" w:line="500" w:lineRule="exact"/>
        <w:ind w:right="482"/>
        <w:jc w:val="center"/>
        <w:rPr>
          <w:rFonts w:ascii="黑体" w:hAnsi="黑体" w:eastAsia="黑体" w:cs="黑体"/>
          <w:b/>
          <w:sz w:val="32"/>
          <w:szCs w:val="32"/>
        </w:rPr>
      </w:pPr>
      <w:r>
        <w:rPr>
          <w:rFonts w:hint="eastAsia" w:ascii="黑体" w:hAnsi="黑体" w:eastAsia="黑体" w:cs="黑体"/>
          <w:b/>
          <w:sz w:val="32"/>
          <w:szCs w:val="32"/>
        </w:rPr>
        <w:t>第十三章  章程的修改</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第六十五条  </w:t>
      </w:r>
      <w:r>
        <w:rPr>
          <w:rFonts w:hint="eastAsia" w:ascii="仿宋_GB2312" w:hAnsi="仿宋_GB2312" w:eastAsia="仿宋_GB2312" w:cs="仿宋_GB2312"/>
          <w:sz w:val="32"/>
          <w:szCs w:val="32"/>
        </w:rPr>
        <w:t>本章程在实施过程中如果与国家法律、法规和政策规定有抵触，应按国家的法律、法规和政策的规定执行，并对《章程》作相应的修改。</w:t>
      </w:r>
    </w:p>
    <w:p>
      <w:pPr>
        <w:spacing w:line="500" w:lineRule="exact"/>
        <w:ind w:firstLine="630" w:firstLineChars="196"/>
        <w:rPr>
          <w:rFonts w:ascii="仿宋_GB2312" w:hAnsi="仿宋_GB2312" w:eastAsia="仿宋_GB2312" w:cs="仿宋_GB2312"/>
          <w:sz w:val="32"/>
          <w:szCs w:val="32"/>
        </w:rPr>
      </w:pPr>
      <w:r>
        <w:rPr>
          <w:rFonts w:hint="eastAsia" w:ascii="黑体" w:hAnsi="黑体" w:eastAsia="黑体" w:cs="黑体"/>
          <w:b/>
          <w:bCs/>
          <w:sz w:val="32"/>
          <w:szCs w:val="32"/>
        </w:rPr>
        <w:t xml:space="preserve">第六十六条 </w:t>
      </w:r>
      <w:r>
        <w:rPr>
          <w:rFonts w:hint="eastAsia" w:ascii="仿宋_GB2312" w:hAnsi="仿宋_GB2312" w:eastAsia="仿宋_GB2312" w:cs="仿宋_GB2312"/>
          <w:sz w:val="32"/>
          <w:szCs w:val="32"/>
        </w:rPr>
        <w:t xml:space="preserve"> 公司《章程》修改由</w:t>
      </w:r>
      <w:r>
        <w:rPr>
          <w:rFonts w:hint="eastAsia" w:ascii="仿宋_GB2312" w:hAnsi="仿宋_GB2312" w:eastAsia="仿宋_GB2312" w:cs="仿宋_GB2312"/>
          <w:bCs/>
          <w:sz w:val="32"/>
          <w:szCs w:val="32"/>
        </w:rPr>
        <w:t>兰州大学</w:t>
      </w:r>
      <w:r>
        <w:rPr>
          <w:rFonts w:hint="eastAsia" w:ascii="仿宋_GB2312" w:hAnsi="仿宋_GB2312" w:eastAsia="仿宋_GB2312" w:cs="仿宋_GB2312"/>
          <w:sz w:val="32"/>
          <w:szCs w:val="32"/>
        </w:rPr>
        <w:t>审批。</w:t>
      </w:r>
    </w:p>
    <w:p>
      <w:pPr>
        <w:spacing w:beforeLines="50" w:afterLines="50" w:line="500" w:lineRule="exact"/>
        <w:ind w:right="482"/>
        <w:jc w:val="center"/>
        <w:rPr>
          <w:rFonts w:ascii="黑体" w:hAnsi="黑体" w:eastAsia="黑体" w:cs="黑体"/>
          <w:b/>
          <w:sz w:val="32"/>
          <w:szCs w:val="32"/>
        </w:rPr>
      </w:pPr>
      <w:r>
        <w:rPr>
          <w:rFonts w:hint="eastAsia" w:ascii="黑体" w:hAnsi="黑体" w:eastAsia="黑体" w:cs="黑体"/>
          <w:b/>
          <w:sz w:val="32"/>
          <w:szCs w:val="32"/>
        </w:rPr>
        <w:t>第十四章  附  则</w:t>
      </w:r>
    </w:p>
    <w:p>
      <w:pPr>
        <w:adjustRightInd w:val="0"/>
        <w:snapToGrid w:val="0"/>
        <w:spacing w:line="440" w:lineRule="exact"/>
        <w:ind w:firstLine="643" w:firstLineChars="200"/>
        <w:jc w:val="left"/>
        <w:rPr>
          <w:rFonts w:ascii="仿宋_GB2312" w:hAnsi="仿宋_GB2312" w:eastAsia="仿宋_GB2312" w:cs="仿宋_GB2312"/>
          <w:sz w:val="32"/>
          <w:szCs w:val="32"/>
        </w:rPr>
      </w:pPr>
      <w:r>
        <w:rPr>
          <w:rFonts w:hint="eastAsia" w:ascii="黑体" w:hAnsi="黑体" w:eastAsia="黑体" w:cs="黑体"/>
          <w:b/>
          <w:bCs/>
          <w:sz w:val="32"/>
          <w:szCs w:val="32"/>
        </w:rPr>
        <w:t xml:space="preserve">第六十七条 </w:t>
      </w:r>
      <w:r>
        <w:rPr>
          <w:rFonts w:hint="eastAsia" w:ascii="仿宋_GB2312" w:hAnsi="仿宋_GB2312" w:eastAsia="仿宋_GB2312" w:cs="仿宋_GB2312"/>
          <w:sz w:val="32"/>
          <w:szCs w:val="32"/>
        </w:rPr>
        <w:t xml:space="preserve"> 本《章程》由公司董事会负责解释。</w:t>
      </w:r>
    </w:p>
    <w:p>
      <w:pPr>
        <w:spacing w:line="500" w:lineRule="exact"/>
        <w:ind w:firstLine="630" w:firstLineChars="196"/>
        <w:rPr>
          <w:rStyle w:val="10"/>
          <w:rFonts w:ascii="仿宋_GB2312" w:hAnsi="仿宋_GB2312" w:eastAsia="仿宋_GB2312" w:cs="仿宋_GB2312"/>
          <w:sz w:val="32"/>
          <w:szCs w:val="32"/>
        </w:rPr>
      </w:pPr>
      <w:r>
        <w:rPr>
          <w:rFonts w:hint="eastAsia" w:ascii="黑体" w:hAnsi="黑体" w:eastAsia="黑体" w:cs="黑体"/>
          <w:b/>
          <w:bCs/>
          <w:sz w:val="32"/>
          <w:szCs w:val="32"/>
        </w:rPr>
        <w:t>第六十八条</w:t>
      </w:r>
      <w:r>
        <w:rPr>
          <w:rFonts w:hint="eastAsia" w:ascii="仿宋_GB2312" w:hAnsi="仿宋_GB2312" w:eastAsia="仿宋_GB2312" w:cs="仿宋_GB2312"/>
          <w:b/>
          <w:bCs/>
          <w:sz w:val="32"/>
          <w:szCs w:val="32"/>
        </w:rPr>
        <w:t xml:space="preserve">  </w:t>
      </w:r>
      <w:r>
        <w:rPr>
          <w:rFonts w:hint="eastAsia" w:ascii="仿宋_GB2312" w:hAnsi="仿宋_GB2312" w:eastAsia="仿宋_GB2312" w:cs="仿宋_GB2312"/>
          <w:sz w:val="32"/>
          <w:szCs w:val="32"/>
        </w:rPr>
        <w:t>本《章程》未尽事项，按《公司法》及其他有关法律、法规执行。</w:t>
      </w:r>
    </w:p>
    <w:p>
      <w:pPr>
        <w:spacing w:line="500" w:lineRule="exact"/>
        <w:ind w:firstLine="627" w:firstLineChars="196"/>
        <w:rPr>
          <w:rStyle w:val="10"/>
          <w:rFonts w:ascii="仿宋_GB2312" w:hAnsi="仿宋_GB2312" w:eastAsia="仿宋_GB2312" w:cs="仿宋_GB2312"/>
          <w:sz w:val="32"/>
          <w:szCs w:val="32"/>
        </w:rPr>
      </w:pPr>
    </w:p>
    <w:p>
      <w:pPr>
        <w:rPr>
          <w:rFonts w:ascii="仿宋_GB2312" w:hAnsi="仿宋_GB2312" w:eastAsia="仿宋_GB2312" w:cs="仿宋_GB2312"/>
          <w:sz w:val="32"/>
          <w:szCs w:val="32"/>
        </w:rPr>
      </w:pPr>
    </w:p>
    <w:p>
      <w:pPr>
        <w:ind w:firstLine="4800" w:firstLineChars="150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51467451"/>
    </w:sdtPr>
    <w:sdtContent>
      <w:p>
        <w:pPr>
          <w:pStyle w:val="4"/>
          <w:jc w:val="center"/>
        </w:pPr>
        <w:r>
          <w:fldChar w:fldCharType="begin"/>
        </w:r>
        <w:r>
          <w:instrText xml:space="preserve">PAGE   \* MERGEFORMAT</w:instrText>
        </w:r>
        <w:r>
          <w:fldChar w:fldCharType="separate"/>
        </w:r>
        <w:r>
          <w:rPr>
            <w:lang w:val="zh-CN"/>
          </w:rPr>
          <w:t>14</w:t>
        </w:r>
        <w:r>
          <w:fldChar w:fldCharType="end"/>
        </w:r>
      </w:p>
    </w:sdtContent>
  </w:sdt>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jZjY2MwNmMxZDFmNTdmYzZmMGZmNjg3YzlmNjliYmUifQ=="/>
  </w:docVars>
  <w:rsids>
    <w:rsidRoot w:val="006F6377"/>
    <w:rsid w:val="000354CE"/>
    <w:rsid w:val="00041459"/>
    <w:rsid w:val="000442F2"/>
    <w:rsid w:val="000545BE"/>
    <w:rsid w:val="00071D96"/>
    <w:rsid w:val="000920F5"/>
    <w:rsid w:val="000A06B4"/>
    <w:rsid w:val="000A31E9"/>
    <w:rsid w:val="000B17B1"/>
    <w:rsid w:val="000C14F2"/>
    <w:rsid w:val="000C3915"/>
    <w:rsid w:val="000D437B"/>
    <w:rsid w:val="000D6A6B"/>
    <w:rsid w:val="000E10BC"/>
    <w:rsid w:val="000E3EC2"/>
    <w:rsid w:val="000E7BBB"/>
    <w:rsid w:val="001454E6"/>
    <w:rsid w:val="001915A6"/>
    <w:rsid w:val="00191C22"/>
    <w:rsid w:val="001B2285"/>
    <w:rsid w:val="001C0041"/>
    <w:rsid w:val="001D3B4B"/>
    <w:rsid w:val="001E00A8"/>
    <w:rsid w:val="001E6E76"/>
    <w:rsid w:val="001F3005"/>
    <w:rsid w:val="002131F0"/>
    <w:rsid w:val="00223A5F"/>
    <w:rsid w:val="00233CF3"/>
    <w:rsid w:val="00237BCA"/>
    <w:rsid w:val="00251EC1"/>
    <w:rsid w:val="002520CA"/>
    <w:rsid w:val="002520E1"/>
    <w:rsid w:val="0026183A"/>
    <w:rsid w:val="00295C6B"/>
    <w:rsid w:val="002C7744"/>
    <w:rsid w:val="002F5AB0"/>
    <w:rsid w:val="00324ADD"/>
    <w:rsid w:val="00331120"/>
    <w:rsid w:val="003339BC"/>
    <w:rsid w:val="0034113D"/>
    <w:rsid w:val="00341C99"/>
    <w:rsid w:val="00355B33"/>
    <w:rsid w:val="00357FEE"/>
    <w:rsid w:val="00371627"/>
    <w:rsid w:val="00376F48"/>
    <w:rsid w:val="00377E88"/>
    <w:rsid w:val="00394A89"/>
    <w:rsid w:val="003B1B14"/>
    <w:rsid w:val="003C07A4"/>
    <w:rsid w:val="003E715B"/>
    <w:rsid w:val="003F01FC"/>
    <w:rsid w:val="003F78A2"/>
    <w:rsid w:val="00405F7C"/>
    <w:rsid w:val="0041315F"/>
    <w:rsid w:val="0041748E"/>
    <w:rsid w:val="00417611"/>
    <w:rsid w:val="00417C63"/>
    <w:rsid w:val="00424EC1"/>
    <w:rsid w:val="00426943"/>
    <w:rsid w:val="00436623"/>
    <w:rsid w:val="00455E99"/>
    <w:rsid w:val="00464CE5"/>
    <w:rsid w:val="0047693F"/>
    <w:rsid w:val="004875CA"/>
    <w:rsid w:val="00496FDD"/>
    <w:rsid w:val="004A28AD"/>
    <w:rsid w:val="004B561B"/>
    <w:rsid w:val="004C604D"/>
    <w:rsid w:val="004E04F7"/>
    <w:rsid w:val="004E350B"/>
    <w:rsid w:val="004F2568"/>
    <w:rsid w:val="00502CD3"/>
    <w:rsid w:val="00524615"/>
    <w:rsid w:val="00533854"/>
    <w:rsid w:val="00535CB1"/>
    <w:rsid w:val="005527D8"/>
    <w:rsid w:val="00553DD0"/>
    <w:rsid w:val="00554EA1"/>
    <w:rsid w:val="00567C25"/>
    <w:rsid w:val="00575335"/>
    <w:rsid w:val="00587AC0"/>
    <w:rsid w:val="005B2748"/>
    <w:rsid w:val="005D5D10"/>
    <w:rsid w:val="006009BA"/>
    <w:rsid w:val="006072B7"/>
    <w:rsid w:val="00610954"/>
    <w:rsid w:val="00614624"/>
    <w:rsid w:val="006271F8"/>
    <w:rsid w:val="0064791E"/>
    <w:rsid w:val="00647FED"/>
    <w:rsid w:val="00654FC4"/>
    <w:rsid w:val="0068187D"/>
    <w:rsid w:val="00683D17"/>
    <w:rsid w:val="00686891"/>
    <w:rsid w:val="0069144B"/>
    <w:rsid w:val="00692F46"/>
    <w:rsid w:val="006A0322"/>
    <w:rsid w:val="006A41D1"/>
    <w:rsid w:val="006B2326"/>
    <w:rsid w:val="006B551F"/>
    <w:rsid w:val="006D3756"/>
    <w:rsid w:val="006F4D95"/>
    <w:rsid w:val="006F5745"/>
    <w:rsid w:val="006F6377"/>
    <w:rsid w:val="0070338F"/>
    <w:rsid w:val="00706EF1"/>
    <w:rsid w:val="007147A0"/>
    <w:rsid w:val="00721851"/>
    <w:rsid w:val="0072413F"/>
    <w:rsid w:val="00724FAA"/>
    <w:rsid w:val="0075015A"/>
    <w:rsid w:val="0075034F"/>
    <w:rsid w:val="00762D17"/>
    <w:rsid w:val="00766216"/>
    <w:rsid w:val="00781CDB"/>
    <w:rsid w:val="00793E37"/>
    <w:rsid w:val="00794C90"/>
    <w:rsid w:val="007B55B2"/>
    <w:rsid w:val="00800163"/>
    <w:rsid w:val="008009BA"/>
    <w:rsid w:val="00807DFD"/>
    <w:rsid w:val="0081717A"/>
    <w:rsid w:val="00821D9A"/>
    <w:rsid w:val="008237E5"/>
    <w:rsid w:val="008241E3"/>
    <w:rsid w:val="00826E7E"/>
    <w:rsid w:val="008333EA"/>
    <w:rsid w:val="00861EA2"/>
    <w:rsid w:val="00866AE4"/>
    <w:rsid w:val="00881C59"/>
    <w:rsid w:val="008855D9"/>
    <w:rsid w:val="00892560"/>
    <w:rsid w:val="008A45CB"/>
    <w:rsid w:val="008B356A"/>
    <w:rsid w:val="008D484E"/>
    <w:rsid w:val="008D5EA1"/>
    <w:rsid w:val="008E3332"/>
    <w:rsid w:val="008F0EC9"/>
    <w:rsid w:val="008F607D"/>
    <w:rsid w:val="009142C8"/>
    <w:rsid w:val="00915617"/>
    <w:rsid w:val="0091784C"/>
    <w:rsid w:val="0092027A"/>
    <w:rsid w:val="00941FEB"/>
    <w:rsid w:val="00951E02"/>
    <w:rsid w:val="009537B3"/>
    <w:rsid w:val="00955BE9"/>
    <w:rsid w:val="009903F9"/>
    <w:rsid w:val="009944D5"/>
    <w:rsid w:val="00995F1F"/>
    <w:rsid w:val="009A5138"/>
    <w:rsid w:val="009D60C2"/>
    <w:rsid w:val="009E67FE"/>
    <w:rsid w:val="00A24443"/>
    <w:rsid w:val="00A24479"/>
    <w:rsid w:val="00A27D74"/>
    <w:rsid w:val="00A33F90"/>
    <w:rsid w:val="00A427B6"/>
    <w:rsid w:val="00A445C0"/>
    <w:rsid w:val="00A543F6"/>
    <w:rsid w:val="00A64FBF"/>
    <w:rsid w:val="00A77ADB"/>
    <w:rsid w:val="00A931C5"/>
    <w:rsid w:val="00AA0E1E"/>
    <w:rsid w:val="00AB3BFF"/>
    <w:rsid w:val="00AB407B"/>
    <w:rsid w:val="00AB42EF"/>
    <w:rsid w:val="00AC306F"/>
    <w:rsid w:val="00AC579C"/>
    <w:rsid w:val="00AD57FD"/>
    <w:rsid w:val="00AF4C5F"/>
    <w:rsid w:val="00AF5567"/>
    <w:rsid w:val="00B012EB"/>
    <w:rsid w:val="00B07578"/>
    <w:rsid w:val="00B24200"/>
    <w:rsid w:val="00B2437C"/>
    <w:rsid w:val="00B343E1"/>
    <w:rsid w:val="00B45DA3"/>
    <w:rsid w:val="00B645A5"/>
    <w:rsid w:val="00B72DB2"/>
    <w:rsid w:val="00B948F8"/>
    <w:rsid w:val="00B9782C"/>
    <w:rsid w:val="00BD1466"/>
    <w:rsid w:val="00BD7233"/>
    <w:rsid w:val="00BF3B66"/>
    <w:rsid w:val="00BF6412"/>
    <w:rsid w:val="00C142FF"/>
    <w:rsid w:val="00C15F7F"/>
    <w:rsid w:val="00C165F1"/>
    <w:rsid w:val="00C47874"/>
    <w:rsid w:val="00C70F95"/>
    <w:rsid w:val="00C94D11"/>
    <w:rsid w:val="00CA43BA"/>
    <w:rsid w:val="00CA774A"/>
    <w:rsid w:val="00CB0539"/>
    <w:rsid w:val="00CF5236"/>
    <w:rsid w:val="00D00C7D"/>
    <w:rsid w:val="00D364D3"/>
    <w:rsid w:val="00D36A26"/>
    <w:rsid w:val="00D5004C"/>
    <w:rsid w:val="00D57B2E"/>
    <w:rsid w:val="00D81EF6"/>
    <w:rsid w:val="00D857EC"/>
    <w:rsid w:val="00D87D49"/>
    <w:rsid w:val="00D940CF"/>
    <w:rsid w:val="00D9790F"/>
    <w:rsid w:val="00DA482D"/>
    <w:rsid w:val="00DA491C"/>
    <w:rsid w:val="00DD3CE3"/>
    <w:rsid w:val="00DE1C1A"/>
    <w:rsid w:val="00E10534"/>
    <w:rsid w:val="00E13071"/>
    <w:rsid w:val="00E1735B"/>
    <w:rsid w:val="00E229A3"/>
    <w:rsid w:val="00E30B11"/>
    <w:rsid w:val="00E34771"/>
    <w:rsid w:val="00E5039C"/>
    <w:rsid w:val="00E50C54"/>
    <w:rsid w:val="00E5174D"/>
    <w:rsid w:val="00E55461"/>
    <w:rsid w:val="00E55A70"/>
    <w:rsid w:val="00E610EE"/>
    <w:rsid w:val="00E6449D"/>
    <w:rsid w:val="00EC0BBB"/>
    <w:rsid w:val="00ED228F"/>
    <w:rsid w:val="00ED4438"/>
    <w:rsid w:val="00EF5202"/>
    <w:rsid w:val="00F01D01"/>
    <w:rsid w:val="00F10A7B"/>
    <w:rsid w:val="00F24FCB"/>
    <w:rsid w:val="00F25133"/>
    <w:rsid w:val="00F52063"/>
    <w:rsid w:val="00F5762A"/>
    <w:rsid w:val="00F6289B"/>
    <w:rsid w:val="00F62A21"/>
    <w:rsid w:val="00F66670"/>
    <w:rsid w:val="00F70405"/>
    <w:rsid w:val="00F733BE"/>
    <w:rsid w:val="00F87DF3"/>
    <w:rsid w:val="00F9164E"/>
    <w:rsid w:val="00F92A37"/>
    <w:rsid w:val="00FA1BF4"/>
    <w:rsid w:val="00FC6814"/>
    <w:rsid w:val="01572804"/>
    <w:rsid w:val="022758B4"/>
    <w:rsid w:val="025F58A0"/>
    <w:rsid w:val="034C0459"/>
    <w:rsid w:val="04F805F4"/>
    <w:rsid w:val="08080695"/>
    <w:rsid w:val="08A25203"/>
    <w:rsid w:val="08B53B14"/>
    <w:rsid w:val="09E5502B"/>
    <w:rsid w:val="0C0B02BC"/>
    <w:rsid w:val="156B0FEA"/>
    <w:rsid w:val="16BD4A9E"/>
    <w:rsid w:val="17F83135"/>
    <w:rsid w:val="18067293"/>
    <w:rsid w:val="18080C2D"/>
    <w:rsid w:val="183C52A9"/>
    <w:rsid w:val="19861049"/>
    <w:rsid w:val="199C5460"/>
    <w:rsid w:val="19AD2932"/>
    <w:rsid w:val="1E564630"/>
    <w:rsid w:val="1F042CA8"/>
    <w:rsid w:val="215C31CA"/>
    <w:rsid w:val="22E10F51"/>
    <w:rsid w:val="26676CA5"/>
    <w:rsid w:val="2A697BB9"/>
    <w:rsid w:val="2B145F72"/>
    <w:rsid w:val="2B4E1AA1"/>
    <w:rsid w:val="2EA92D64"/>
    <w:rsid w:val="30DF15A7"/>
    <w:rsid w:val="31B935CC"/>
    <w:rsid w:val="36250C1B"/>
    <w:rsid w:val="375E70EE"/>
    <w:rsid w:val="3829433F"/>
    <w:rsid w:val="3A9E21C8"/>
    <w:rsid w:val="3DCE0312"/>
    <w:rsid w:val="3FDD447F"/>
    <w:rsid w:val="429E6CC1"/>
    <w:rsid w:val="42B214E5"/>
    <w:rsid w:val="42BE520D"/>
    <w:rsid w:val="42F73E67"/>
    <w:rsid w:val="431D3EBE"/>
    <w:rsid w:val="451935E5"/>
    <w:rsid w:val="472976B3"/>
    <w:rsid w:val="4AED40A1"/>
    <w:rsid w:val="4C1F1D43"/>
    <w:rsid w:val="4E0F766D"/>
    <w:rsid w:val="4E380268"/>
    <w:rsid w:val="4FB11FD1"/>
    <w:rsid w:val="52671327"/>
    <w:rsid w:val="56DC6360"/>
    <w:rsid w:val="583B614D"/>
    <w:rsid w:val="58504AD0"/>
    <w:rsid w:val="58975A79"/>
    <w:rsid w:val="5D793AFD"/>
    <w:rsid w:val="649D6CF9"/>
    <w:rsid w:val="65963CBA"/>
    <w:rsid w:val="677C6D18"/>
    <w:rsid w:val="68077AE1"/>
    <w:rsid w:val="697053FC"/>
    <w:rsid w:val="6F1C5CB1"/>
    <w:rsid w:val="6FEB513F"/>
    <w:rsid w:val="75001B57"/>
    <w:rsid w:val="761C7D07"/>
    <w:rsid w:val="783F3A20"/>
    <w:rsid w:val="79F33102"/>
    <w:rsid w:val="7C5B4BC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autoRedefine/>
    <w:semiHidden/>
    <w:unhideWhenUsed/>
    <w:qFormat/>
    <w:uiPriority w:val="1"/>
  </w:style>
  <w:style w:type="table" w:default="1" w:styleId="8">
    <w:name w:val="Normal Table"/>
    <w:autoRedefine/>
    <w:semiHidden/>
    <w:unhideWhenUsed/>
    <w:qFormat/>
    <w:uiPriority w:val="99"/>
    <w:tblPr>
      <w:tblCellMar>
        <w:top w:w="0" w:type="dxa"/>
        <w:left w:w="108" w:type="dxa"/>
        <w:bottom w:w="0" w:type="dxa"/>
        <w:right w:w="108" w:type="dxa"/>
      </w:tblCellMar>
    </w:tblPr>
  </w:style>
  <w:style w:type="paragraph" w:styleId="2">
    <w:name w:val="annotation text"/>
    <w:basedOn w:val="1"/>
    <w:link w:val="14"/>
    <w:autoRedefine/>
    <w:unhideWhenUsed/>
    <w:qFormat/>
    <w:uiPriority w:val="99"/>
    <w:pPr>
      <w:jc w:val="left"/>
    </w:pPr>
  </w:style>
  <w:style w:type="paragraph" w:styleId="3">
    <w:name w:val="Balloon Text"/>
    <w:basedOn w:val="1"/>
    <w:link w:val="13"/>
    <w:autoRedefine/>
    <w:semiHidden/>
    <w:unhideWhenUsed/>
    <w:qFormat/>
    <w:uiPriority w:val="99"/>
    <w:rPr>
      <w:sz w:val="18"/>
      <w:szCs w:val="18"/>
    </w:rPr>
  </w:style>
  <w:style w:type="paragraph" w:styleId="4">
    <w:name w:val="footer"/>
    <w:basedOn w:val="1"/>
    <w:link w:val="12"/>
    <w:autoRedefine/>
    <w:unhideWhenUsed/>
    <w:qFormat/>
    <w:uiPriority w:val="99"/>
    <w:pPr>
      <w:tabs>
        <w:tab w:val="center" w:pos="4153"/>
        <w:tab w:val="right" w:pos="8306"/>
      </w:tabs>
      <w:snapToGrid w:val="0"/>
      <w:jc w:val="left"/>
    </w:pPr>
    <w:rPr>
      <w:sz w:val="18"/>
      <w:szCs w:val="18"/>
    </w:rPr>
  </w:style>
  <w:style w:type="paragraph" w:styleId="5">
    <w:name w:val="header"/>
    <w:basedOn w:val="1"/>
    <w:link w:val="11"/>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styleId="7">
    <w:name w:val="annotation subject"/>
    <w:basedOn w:val="2"/>
    <w:next w:val="2"/>
    <w:link w:val="15"/>
    <w:autoRedefine/>
    <w:semiHidden/>
    <w:unhideWhenUsed/>
    <w:qFormat/>
    <w:uiPriority w:val="99"/>
    <w:rPr>
      <w:b/>
      <w:bCs/>
    </w:rPr>
  </w:style>
  <w:style w:type="character" w:styleId="10">
    <w:name w:val="annotation reference"/>
    <w:basedOn w:val="9"/>
    <w:autoRedefine/>
    <w:semiHidden/>
    <w:unhideWhenUsed/>
    <w:qFormat/>
    <w:uiPriority w:val="99"/>
    <w:rPr>
      <w:sz w:val="21"/>
      <w:szCs w:val="21"/>
    </w:rPr>
  </w:style>
  <w:style w:type="character" w:customStyle="1" w:styleId="11">
    <w:name w:val="页眉 Char"/>
    <w:basedOn w:val="9"/>
    <w:link w:val="5"/>
    <w:autoRedefine/>
    <w:qFormat/>
    <w:uiPriority w:val="99"/>
    <w:rPr>
      <w:sz w:val="18"/>
      <w:szCs w:val="18"/>
    </w:rPr>
  </w:style>
  <w:style w:type="character" w:customStyle="1" w:styleId="12">
    <w:name w:val="页脚 Char"/>
    <w:basedOn w:val="9"/>
    <w:link w:val="4"/>
    <w:autoRedefine/>
    <w:qFormat/>
    <w:uiPriority w:val="99"/>
    <w:rPr>
      <w:sz w:val="18"/>
      <w:szCs w:val="18"/>
    </w:rPr>
  </w:style>
  <w:style w:type="character" w:customStyle="1" w:styleId="13">
    <w:name w:val="批注框文本 Char"/>
    <w:basedOn w:val="9"/>
    <w:link w:val="3"/>
    <w:autoRedefine/>
    <w:semiHidden/>
    <w:qFormat/>
    <w:uiPriority w:val="99"/>
    <w:rPr>
      <w:sz w:val="18"/>
      <w:szCs w:val="18"/>
    </w:rPr>
  </w:style>
  <w:style w:type="character" w:customStyle="1" w:styleId="14">
    <w:name w:val="批注文字 Char"/>
    <w:basedOn w:val="9"/>
    <w:link w:val="2"/>
    <w:autoRedefine/>
    <w:qFormat/>
    <w:uiPriority w:val="99"/>
    <w:rPr>
      <w:kern w:val="2"/>
      <w:sz w:val="21"/>
      <w:szCs w:val="22"/>
    </w:rPr>
  </w:style>
  <w:style w:type="character" w:customStyle="1" w:styleId="15">
    <w:name w:val="批注主题 Char"/>
    <w:basedOn w:val="14"/>
    <w:link w:val="7"/>
    <w:autoRedefine/>
    <w:semiHidden/>
    <w:qFormat/>
    <w:uiPriority w:val="99"/>
    <w:rPr>
      <w:b/>
      <w:bCs/>
      <w:kern w:val="2"/>
      <w:sz w:val="21"/>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HP</Company>
  <Pages>15</Pages>
  <Words>1200</Words>
  <Characters>6840</Characters>
  <Lines>57</Lines>
  <Paragraphs>16</Paragraphs>
  <TotalTime>4</TotalTime>
  <ScaleCrop>false</ScaleCrop>
  <LinksUpToDate>false</LinksUpToDate>
  <CharactersWithSpaces>8024</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2023-12-25T08:49:00Z</dcterms:created>
  <dc:creator>唐 唐</dc:creator>
  <cp:lastModifiedBy>守望麦田 </cp:lastModifiedBy>
  <cp:lastPrinted>2020-10-29T07:06:00Z</cp:lastPrinted>
  <dcterms:modified xsi:type="dcterms:W3CDTF">2023-12-28T07:04:12Z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30C6C7C002DE4BC48EF94F8C0F56FA22_13</vt:lpwstr>
  </property>
</Properties>
</file>